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F3EFA" w14:textId="77777777" w:rsidR="003470A6" w:rsidRDefault="00000000" w:rsidP="00F36323">
      <w:pPr>
        <w:pStyle w:val="Heading1"/>
        <w:keepNext w:val="0"/>
        <w:keepLines w:val="0"/>
        <w:spacing w:before="0"/>
        <w:jc w:val="center"/>
      </w:pPr>
      <w:bookmarkStart w:id="0" w:name="_heading=h.gjdgxs" w:colFirst="0" w:colLast="0"/>
      <w:bookmarkEnd w:id="0"/>
      <w:r>
        <w:t xml:space="preserve">Syllabus/Module </w:t>
      </w:r>
      <w:proofErr w:type="spellStart"/>
      <w:r>
        <w:t>Specification</w:t>
      </w:r>
      <w:proofErr w:type="spellEnd"/>
    </w:p>
    <w:p w14:paraId="393FC0EE" w14:textId="21B6E264" w:rsidR="003470A6" w:rsidRDefault="00000000">
      <w:r>
        <w:t>v.</w:t>
      </w:r>
      <w:r w:rsidR="00F36323">
        <w:t>1.0</w:t>
      </w:r>
      <w:r>
        <w:t xml:space="preserve"> Date:</w:t>
      </w:r>
      <w:r w:rsidR="00F36323">
        <w:t>07</w:t>
      </w:r>
      <w:r>
        <w:t>-</w:t>
      </w:r>
      <w:r w:rsidR="00F36323">
        <w:t>03</w:t>
      </w:r>
      <w:r>
        <w:t>-</w:t>
      </w:r>
      <w:r w:rsidR="00F36323">
        <w:t>2025</w:t>
      </w:r>
    </w:p>
    <w:tbl>
      <w:tblPr>
        <w:tblStyle w:val="a"/>
        <w:tblW w:w="9120" w:type="dxa"/>
        <w:jc w:val="center"/>
        <w:tblLayout w:type="fixed"/>
        <w:tblLook w:val="0000" w:firstRow="0" w:lastRow="0" w:firstColumn="0" w:lastColumn="0" w:noHBand="0" w:noVBand="0"/>
      </w:tblPr>
      <w:tblGrid>
        <w:gridCol w:w="480"/>
        <w:gridCol w:w="1500"/>
        <w:gridCol w:w="1559"/>
        <w:gridCol w:w="1606"/>
        <w:gridCol w:w="615"/>
        <w:gridCol w:w="1845"/>
        <w:gridCol w:w="1515"/>
      </w:tblGrid>
      <w:tr w:rsidR="003470A6" w14:paraId="70F89A19" w14:textId="77777777">
        <w:trPr>
          <w:jc w:val="center"/>
        </w:trPr>
        <w:tc>
          <w:tcPr>
            <w:tcW w:w="91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1E845" w14:textId="5BD3EB77" w:rsidR="003470A6" w:rsidRDefault="00F36323">
            <w:pPr>
              <w:widowControl w:val="0"/>
              <w:rPr>
                <w:b/>
              </w:rPr>
            </w:pPr>
            <w:bookmarkStart w:id="1" w:name="_heading=h.30j0zll" w:colFirst="0" w:colLast="0"/>
            <w:bookmarkEnd w:id="1"/>
            <w:proofErr w:type="spellStart"/>
            <w:r w:rsidRPr="00F36323">
              <w:rPr>
                <w:b/>
              </w:rPr>
              <w:t>Specifics</w:t>
            </w:r>
            <w:proofErr w:type="spellEnd"/>
            <w:r w:rsidRPr="00F36323">
              <w:rPr>
                <w:b/>
              </w:rPr>
              <w:t xml:space="preserve"> </w:t>
            </w:r>
            <w:proofErr w:type="spellStart"/>
            <w:r w:rsidRPr="00F36323">
              <w:rPr>
                <w:b/>
              </w:rPr>
              <w:t>of</w:t>
            </w:r>
            <w:proofErr w:type="spellEnd"/>
            <w:r w:rsidRPr="00F36323">
              <w:rPr>
                <w:b/>
              </w:rPr>
              <w:t xml:space="preserve"> PM </w:t>
            </w:r>
            <w:proofErr w:type="spellStart"/>
            <w:r w:rsidRPr="00F36323">
              <w:rPr>
                <w:b/>
              </w:rPr>
              <w:t>for</w:t>
            </w:r>
            <w:proofErr w:type="spellEnd"/>
            <w:r w:rsidRPr="00F36323">
              <w:rPr>
                <w:b/>
              </w:rPr>
              <w:t xml:space="preserve"> Regional Development (</w:t>
            </w:r>
            <w:proofErr w:type="spellStart"/>
            <w:r w:rsidRPr="00F36323">
              <w:rPr>
                <w:b/>
              </w:rPr>
              <w:t>inc.</w:t>
            </w:r>
            <w:proofErr w:type="spellEnd"/>
            <w:r w:rsidRPr="00F36323">
              <w:rPr>
                <w:b/>
              </w:rPr>
              <w:t xml:space="preserve"> Programme &amp; Portfolio Management)</w:t>
            </w:r>
          </w:p>
        </w:tc>
      </w:tr>
      <w:tr w:rsidR="00BD75E2" w14:paraId="73B8AE63" w14:textId="77777777" w:rsidTr="00663A7F">
        <w:trPr>
          <w:jc w:val="center"/>
        </w:trPr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C94D1" w14:textId="77777777" w:rsidR="00BD75E2" w:rsidRDefault="00BD75E2">
            <w:pPr>
              <w:keepNext/>
              <w:widowControl w:val="0"/>
              <w:spacing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Module </w:t>
            </w:r>
            <w:proofErr w:type="spellStart"/>
            <w:r>
              <w:rPr>
                <w:b/>
                <w:sz w:val="20"/>
                <w:szCs w:val="20"/>
              </w:rPr>
              <w:t>Owner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  <w:p w14:paraId="14653E70" w14:textId="77777777" w:rsidR="00BD75E2" w:rsidRDefault="00F3632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Nataliia Yehorchenkova,</w:t>
            </w:r>
          </w:p>
          <w:p w14:paraId="0B25C06A" w14:textId="40124F63" w:rsidR="00F36323" w:rsidRDefault="00F3632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Slovak University </w:t>
            </w:r>
            <w:proofErr w:type="spellStart"/>
            <w:r>
              <w:rPr>
                <w:sz w:val="20"/>
                <w:szCs w:val="20"/>
              </w:rPr>
              <w:t>of</w:t>
            </w:r>
            <w:proofErr w:type="spellEnd"/>
            <w:r>
              <w:rPr>
                <w:sz w:val="20"/>
                <w:szCs w:val="20"/>
              </w:rPr>
              <w:t xml:space="preserve"> Technology in Bratislava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3559C" w14:textId="7BB1FFBC" w:rsidR="00BD75E2" w:rsidRDefault="008D7230">
            <w:pPr>
              <w:keepNext/>
              <w:widowControl w:val="0"/>
              <w:spacing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Total </w:t>
            </w:r>
            <w:r w:rsidR="00BD75E2">
              <w:rPr>
                <w:b/>
                <w:sz w:val="20"/>
                <w:szCs w:val="20"/>
              </w:rPr>
              <w:t>Workload</w:t>
            </w:r>
          </w:p>
          <w:p w14:paraId="120816DE" w14:textId="0423FEAA" w:rsidR="00BD75E2" w:rsidRDefault="0037013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  <w:r w:rsidR="00BD75E2">
              <w:rPr>
                <w:sz w:val="20"/>
                <w:szCs w:val="20"/>
              </w:rPr>
              <w:t xml:space="preserve"> h</w:t>
            </w:r>
          </w:p>
        </w:tc>
        <w:tc>
          <w:tcPr>
            <w:tcW w:w="2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0DA85" w14:textId="77777777" w:rsidR="00BD75E2" w:rsidRDefault="00BD75E2">
            <w:pPr>
              <w:keepNext/>
              <w:widowControl w:val="0"/>
              <w:spacing w:after="12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Credits</w:t>
            </w:r>
            <w:proofErr w:type="spellEnd"/>
          </w:p>
          <w:p w14:paraId="7AF050C4" w14:textId="75D548B3" w:rsidR="00BD75E2" w:rsidRDefault="0037013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76D14" w14:textId="31944ECB" w:rsidR="00BD75E2" w:rsidRDefault="00BD75E2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Language</w:t>
            </w:r>
          </w:p>
          <w:p w14:paraId="65009E76" w14:textId="187C79DD" w:rsidR="00BD75E2" w:rsidRDefault="00BD75E2">
            <w:pPr>
              <w:widowControl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English, </w:t>
            </w:r>
            <w:proofErr w:type="spellStart"/>
            <w:r>
              <w:rPr>
                <w:i/>
                <w:sz w:val="20"/>
                <w:szCs w:val="20"/>
              </w:rPr>
              <w:t>Ukrainian</w:t>
            </w:r>
            <w:proofErr w:type="spellEnd"/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BFAFE" w14:textId="77777777" w:rsidR="00BD75E2" w:rsidRDefault="00BD75E2">
            <w:pPr>
              <w:keepNext/>
              <w:widowControl w:val="0"/>
              <w:spacing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Duration</w:t>
            </w:r>
          </w:p>
          <w:p w14:paraId="0755700F" w14:textId="3BBF316A" w:rsidR="00BD75E2" w:rsidRPr="00370132" w:rsidRDefault="00BD75E2" w:rsidP="00370132">
            <w:pPr>
              <w:widowControl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 Semester</w:t>
            </w:r>
          </w:p>
        </w:tc>
      </w:tr>
      <w:tr w:rsidR="00BD75E2" w14:paraId="005E7C10" w14:textId="77777777" w:rsidTr="009C35B7">
        <w:trPr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6FBFC" w14:textId="77777777" w:rsidR="00BD75E2" w:rsidRDefault="00BD75E2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DBB4E" w14:textId="77777777" w:rsidR="00BD75E2" w:rsidRDefault="00BD75E2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Contact </w:t>
            </w:r>
            <w:proofErr w:type="spellStart"/>
            <w:r>
              <w:rPr>
                <w:b/>
                <w:sz w:val="20"/>
                <w:szCs w:val="20"/>
              </w:rPr>
              <w:t>hours</w:t>
            </w:r>
            <w:proofErr w:type="spellEnd"/>
          </w:p>
          <w:p w14:paraId="36076120" w14:textId="08691B01" w:rsidR="00BD75E2" w:rsidRDefault="00370132">
            <w:pPr>
              <w:widowControl w:val="0"/>
              <w:jc w:val="center"/>
              <w:rPr>
                <w:sz w:val="20"/>
                <w:szCs w:val="20"/>
              </w:rPr>
            </w:pPr>
            <w:r>
              <w:t xml:space="preserve">2 </w:t>
            </w:r>
            <w:proofErr w:type="spellStart"/>
            <w:r>
              <w:t>hours</w:t>
            </w:r>
            <w:proofErr w:type="spellEnd"/>
            <w:r>
              <w:t xml:space="preserve"> per </w:t>
            </w:r>
            <w:proofErr w:type="spellStart"/>
            <w:r>
              <w:t>week</w:t>
            </w:r>
            <w:proofErr w:type="spellEnd"/>
            <w:r>
              <w:t xml:space="preserve"> / </w:t>
            </w:r>
            <w:r>
              <w:rPr>
                <w:rStyle w:val="Strong"/>
              </w:rPr>
              <w:t>30 h in total</w:t>
            </w:r>
          </w:p>
        </w:tc>
        <w:tc>
          <w:tcPr>
            <w:tcW w:w="3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B8159" w14:textId="77777777" w:rsidR="00BD75E2" w:rsidRDefault="00BD75E2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Self-Study</w:t>
            </w:r>
          </w:p>
          <w:p w14:paraId="60A04AB2" w14:textId="305C1804" w:rsidR="00BD75E2" w:rsidRDefault="00370132" w:rsidP="00BD75E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  <w:r w:rsidR="00BD75E2">
              <w:rPr>
                <w:sz w:val="20"/>
                <w:szCs w:val="20"/>
              </w:rPr>
              <w:t xml:space="preserve"> h</w:t>
            </w:r>
          </w:p>
        </w:tc>
      </w:tr>
      <w:tr w:rsidR="003470A6" w14:paraId="1637017F" w14:textId="77777777">
        <w:trPr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A2CC8" w14:textId="77777777" w:rsidR="003470A6" w:rsidRDefault="0000000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6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4CCA0" w14:textId="70DC8BFF" w:rsidR="003470A6" w:rsidRDefault="00BD75E2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Module Description</w:t>
            </w:r>
          </w:p>
          <w:p w14:paraId="24CAE16E" w14:textId="11F998FD" w:rsidR="003470A6" w:rsidRDefault="00370132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RPr="00370132">
              <w:rPr>
                <w:sz w:val="20"/>
                <w:szCs w:val="20"/>
              </w:rPr>
              <w:t xml:space="preserve">This </w:t>
            </w:r>
            <w:proofErr w:type="spellStart"/>
            <w:r w:rsidRPr="00370132">
              <w:rPr>
                <w:sz w:val="20"/>
                <w:szCs w:val="20"/>
              </w:rPr>
              <w:t>module</w:t>
            </w:r>
            <w:proofErr w:type="spellEnd"/>
            <w:r w:rsidRPr="00370132">
              <w:rPr>
                <w:sz w:val="20"/>
                <w:szCs w:val="20"/>
              </w:rPr>
              <w:t xml:space="preserve"> </w:t>
            </w:r>
            <w:proofErr w:type="spellStart"/>
            <w:r w:rsidRPr="00370132">
              <w:rPr>
                <w:sz w:val="20"/>
                <w:szCs w:val="20"/>
              </w:rPr>
              <w:t>explores</w:t>
            </w:r>
            <w:proofErr w:type="spellEnd"/>
            <w:r w:rsidRPr="00370132">
              <w:rPr>
                <w:sz w:val="20"/>
                <w:szCs w:val="20"/>
              </w:rPr>
              <w:t xml:space="preserve"> </w:t>
            </w:r>
            <w:proofErr w:type="spellStart"/>
            <w:r w:rsidRPr="00370132">
              <w:rPr>
                <w:sz w:val="20"/>
                <w:szCs w:val="20"/>
              </w:rPr>
              <w:t>the</w:t>
            </w:r>
            <w:proofErr w:type="spellEnd"/>
            <w:r w:rsidRPr="00370132">
              <w:rPr>
                <w:sz w:val="20"/>
                <w:szCs w:val="20"/>
              </w:rPr>
              <w:t xml:space="preserve"> </w:t>
            </w:r>
            <w:proofErr w:type="spellStart"/>
            <w:r w:rsidRPr="00370132">
              <w:rPr>
                <w:sz w:val="20"/>
                <w:szCs w:val="20"/>
              </w:rPr>
              <w:t>principles</w:t>
            </w:r>
            <w:proofErr w:type="spellEnd"/>
            <w:r w:rsidRPr="00370132">
              <w:rPr>
                <w:sz w:val="20"/>
                <w:szCs w:val="20"/>
              </w:rPr>
              <w:t xml:space="preserve"> and </w:t>
            </w:r>
            <w:proofErr w:type="spellStart"/>
            <w:r w:rsidRPr="00370132">
              <w:rPr>
                <w:sz w:val="20"/>
                <w:szCs w:val="20"/>
              </w:rPr>
              <w:t>methodologies</w:t>
            </w:r>
            <w:proofErr w:type="spellEnd"/>
            <w:r w:rsidRPr="00370132">
              <w:rPr>
                <w:sz w:val="20"/>
                <w:szCs w:val="20"/>
              </w:rPr>
              <w:t xml:space="preserve"> </w:t>
            </w:r>
            <w:proofErr w:type="spellStart"/>
            <w:r w:rsidRPr="00370132">
              <w:rPr>
                <w:sz w:val="20"/>
                <w:szCs w:val="20"/>
              </w:rPr>
              <w:t>of</w:t>
            </w:r>
            <w:proofErr w:type="spellEnd"/>
            <w:r w:rsidRPr="00370132">
              <w:rPr>
                <w:sz w:val="20"/>
                <w:szCs w:val="20"/>
              </w:rPr>
              <w:t xml:space="preserve"> Project Management (PM) </w:t>
            </w:r>
            <w:proofErr w:type="spellStart"/>
            <w:r w:rsidRPr="00370132">
              <w:rPr>
                <w:sz w:val="20"/>
                <w:szCs w:val="20"/>
              </w:rPr>
              <w:t>for</w:t>
            </w:r>
            <w:proofErr w:type="spellEnd"/>
            <w:r w:rsidRPr="00370132">
              <w:rPr>
                <w:sz w:val="20"/>
                <w:szCs w:val="20"/>
              </w:rPr>
              <w:t xml:space="preserve"> Regional Development, </w:t>
            </w:r>
            <w:proofErr w:type="spellStart"/>
            <w:r w:rsidRPr="00370132">
              <w:rPr>
                <w:sz w:val="20"/>
                <w:szCs w:val="20"/>
              </w:rPr>
              <w:t>with</w:t>
            </w:r>
            <w:proofErr w:type="spellEnd"/>
            <w:r w:rsidRPr="00370132">
              <w:rPr>
                <w:sz w:val="20"/>
                <w:szCs w:val="20"/>
              </w:rPr>
              <w:t xml:space="preserve"> a </w:t>
            </w:r>
            <w:proofErr w:type="spellStart"/>
            <w:r w:rsidRPr="00370132">
              <w:rPr>
                <w:sz w:val="20"/>
                <w:szCs w:val="20"/>
              </w:rPr>
              <w:t>focus</w:t>
            </w:r>
            <w:proofErr w:type="spellEnd"/>
            <w:r w:rsidRPr="00370132">
              <w:rPr>
                <w:sz w:val="20"/>
                <w:szCs w:val="20"/>
              </w:rPr>
              <w:t xml:space="preserve"> on Programme and Portfolio Management (PPM). </w:t>
            </w:r>
            <w:proofErr w:type="spellStart"/>
            <w:r w:rsidRPr="00370132">
              <w:rPr>
                <w:sz w:val="20"/>
                <w:szCs w:val="20"/>
              </w:rPr>
              <w:t>It</w:t>
            </w:r>
            <w:proofErr w:type="spellEnd"/>
            <w:r w:rsidRPr="00370132">
              <w:rPr>
                <w:sz w:val="20"/>
                <w:szCs w:val="20"/>
              </w:rPr>
              <w:t xml:space="preserve"> </w:t>
            </w:r>
            <w:proofErr w:type="spellStart"/>
            <w:r w:rsidRPr="00370132">
              <w:rPr>
                <w:sz w:val="20"/>
                <w:szCs w:val="20"/>
              </w:rPr>
              <w:t>provides</w:t>
            </w:r>
            <w:proofErr w:type="spellEnd"/>
            <w:r w:rsidRPr="00370132">
              <w:rPr>
                <w:sz w:val="20"/>
                <w:szCs w:val="20"/>
              </w:rPr>
              <w:t xml:space="preserve"> an </w:t>
            </w:r>
            <w:proofErr w:type="spellStart"/>
            <w:r w:rsidRPr="00370132">
              <w:rPr>
                <w:sz w:val="20"/>
                <w:szCs w:val="20"/>
              </w:rPr>
              <w:t>understanding</w:t>
            </w:r>
            <w:proofErr w:type="spellEnd"/>
            <w:r w:rsidRPr="00370132">
              <w:rPr>
                <w:sz w:val="20"/>
                <w:szCs w:val="20"/>
              </w:rPr>
              <w:t xml:space="preserve"> </w:t>
            </w:r>
            <w:proofErr w:type="spellStart"/>
            <w:r w:rsidRPr="00370132">
              <w:rPr>
                <w:sz w:val="20"/>
                <w:szCs w:val="20"/>
              </w:rPr>
              <w:t>of</w:t>
            </w:r>
            <w:proofErr w:type="spellEnd"/>
            <w:r w:rsidRPr="00370132">
              <w:rPr>
                <w:sz w:val="20"/>
                <w:szCs w:val="20"/>
              </w:rPr>
              <w:t xml:space="preserve"> </w:t>
            </w:r>
            <w:proofErr w:type="spellStart"/>
            <w:r w:rsidRPr="00370132">
              <w:rPr>
                <w:sz w:val="20"/>
                <w:szCs w:val="20"/>
              </w:rPr>
              <w:t>governance</w:t>
            </w:r>
            <w:proofErr w:type="spellEnd"/>
            <w:r w:rsidRPr="00370132">
              <w:rPr>
                <w:sz w:val="20"/>
                <w:szCs w:val="20"/>
              </w:rPr>
              <w:t xml:space="preserve"> </w:t>
            </w:r>
            <w:proofErr w:type="spellStart"/>
            <w:r w:rsidRPr="00370132">
              <w:rPr>
                <w:sz w:val="20"/>
                <w:szCs w:val="20"/>
              </w:rPr>
              <w:t>structures</w:t>
            </w:r>
            <w:proofErr w:type="spellEnd"/>
            <w:r w:rsidRPr="00370132">
              <w:rPr>
                <w:sz w:val="20"/>
                <w:szCs w:val="20"/>
              </w:rPr>
              <w:t xml:space="preserve">, </w:t>
            </w:r>
            <w:proofErr w:type="spellStart"/>
            <w:r w:rsidRPr="00370132">
              <w:rPr>
                <w:sz w:val="20"/>
                <w:szCs w:val="20"/>
              </w:rPr>
              <w:t>stakeholder</w:t>
            </w:r>
            <w:proofErr w:type="spellEnd"/>
            <w:r w:rsidRPr="00370132">
              <w:rPr>
                <w:sz w:val="20"/>
                <w:szCs w:val="20"/>
              </w:rPr>
              <w:t xml:space="preserve"> </w:t>
            </w:r>
            <w:proofErr w:type="spellStart"/>
            <w:r w:rsidRPr="00370132">
              <w:rPr>
                <w:sz w:val="20"/>
                <w:szCs w:val="20"/>
              </w:rPr>
              <w:t>engagement</w:t>
            </w:r>
            <w:proofErr w:type="spellEnd"/>
            <w:r w:rsidRPr="00370132">
              <w:rPr>
                <w:sz w:val="20"/>
                <w:szCs w:val="20"/>
              </w:rPr>
              <w:t xml:space="preserve">, </w:t>
            </w:r>
            <w:proofErr w:type="spellStart"/>
            <w:r w:rsidRPr="00370132">
              <w:rPr>
                <w:sz w:val="20"/>
                <w:szCs w:val="20"/>
              </w:rPr>
              <w:t>funding</w:t>
            </w:r>
            <w:proofErr w:type="spellEnd"/>
            <w:r w:rsidRPr="00370132">
              <w:rPr>
                <w:sz w:val="20"/>
                <w:szCs w:val="20"/>
              </w:rPr>
              <w:t xml:space="preserve"> </w:t>
            </w:r>
            <w:proofErr w:type="spellStart"/>
            <w:r w:rsidRPr="00370132">
              <w:rPr>
                <w:sz w:val="20"/>
                <w:szCs w:val="20"/>
              </w:rPr>
              <w:t>mechanisms</w:t>
            </w:r>
            <w:proofErr w:type="spellEnd"/>
            <w:r w:rsidRPr="00370132">
              <w:rPr>
                <w:sz w:val="20"/>
                <w:szCs w:val="20"/>
              </w:rPr>
              <w:t xml:space="preserve">, and </w:t>
            </w:r>
            <w:proofErr w:type="spellStart"/>
            <w:r w:rsidRPr="00370132">
              <w:rPr>
                <w:sz w:val="20"/>
                <w:szCs w:val="20"/>
              </w:rPr>
              <w:t>sustainability</w:t>
            </w:r>
            <w:proofErr w:type="spellEnd"/>
            <w:r w:rsidRPr="00370132">
              <w:rPr>
                <w:sz w:val="20"/>
                <w:szCs w:val="20"/>
              </w:rPr>
              <w:t xml:space="preserve"> </w:t>
            </w:r>
            <w:proofErr w:type="spellStart"/>
            <w:r w:rsidRPr="00370132">
              <w:rPr>
                <w:sz w:val="20"/>
                <w:szCs w:val="20"/>
              </w:rPr>
              <w:t>considerations</w:t>
            </w:r>
            <w:proofErr w:type="spellEnd"/>
            <w:r w:rsidRPr="00370132">
              <w:rPr>
                <w:sz w:val="20"/>
                <w:szCs w:val="20"/>
              </w:rPr>
              <w:t xml:space="preserve"> in regional </w:t>
            </w:r>
            <w:proofErr w:type="spellStart"/>
            <w:r w:rsidRPr="00370132">
              <w:rPr>
                <w:sz w:val="20"/>
                <w:szCs w:val="20"/>
              </w:rPr>
              <w:t>projects</w:t>
            </w:r>
            <w:proofErr w:type="spellEnd"/>
            <w:r w:rsidRPr="00370132">
              <w:rPr>
                <w:sz w:val="20"/>
                <w:szCs w:val="20"/>
              </w:rPr>
              <w:t xml:space="preserve">. The </w:t>
            </w:r>
            <w:proofErr w:type="spellStart"/>
            <w:r w:rsidRPr="00370132">
              <w:rPr>
                <w:sz w:val="20"/>
                <w:szCs w:val="20"/>
              </w:rPr>
              <w:t>course</w:t>
            </w:r>
            <w:proofErr w:type="spellEnd"/>
            <w:r w:rsidRPr="00370132">
              <w:rPr>
                <w:sz w:val="20"/>
                <w:szCs w:val="20"/>
              </w:rPr>
              <w:t xml:space="preserve"> </w:t>
            </w:r>
            <w:proofErr w:type="spellStart"/>
            <w:r w:rsidRPr="00370132">
              <w:rPr>
                <w:sz w:val="20"/>
                <w:szCs w:val="20"/>
              </w:rPr>
              <w:t>integrates</w:t>
            </w:r>
            <w:proofErr w:type="spellEnd"/>
            <w:r w:rsidRPr="00370132">
              <w:rPr>
                <w:sz w:val="20"/>
                <w:szCs w:val="20"/>
              </w:rPr>
              <w:t xml:space="preserve"> </w:t>
            </w:r>
            <w:proofErr w:type="spellStart"/>
            <w:r w:rsidRPr="00370132">
              <w:rPr>
                <w:sz w:val="20"/>
                <w:szCs w:val="20"/>
              </w:rPr>
              <w:t>case</w:t>
            </w:r>
            <w:proofErr w:type="spellEnd"/>
            <w:r w:rsidRPr="00370132">
              <w:rPr>
                <w:sz w:val="20"/>
                <w:szCs w:val="20"/>
              </w:rPr>
              <w:t xml:space="preserve"> </w:t>
            </w:r>
            <w:proofErr w:type="spellStart"/>
            <w:r w:rsidRPr="00370132">
              <w:rPr>
                <w:sz w:val="20"/>
                <w:szCs w:val="20"/>
              </w:rPr>
              <w:t>studies</w:t>
            </w:r>
            <w:proofErr w:type="spellEnd"/>
            <w:r w:rsidRPr="00370132">
              <w:rPr>
                <w:sz w:val="20"/>
                <w:szCs w:val="20"/>
              </w:rPr>
              <w:t xml:space="preserve">, </w:t>
            </w:r>
            <w:proofErr w:type="spellStart"/>
            <w:r w:rsidRPr="00370132">
              <w:rPr>
                <w:sz w:val="20"/>
                <w:szCs w:val="20"/>
              </w:rPr>
              <w:t>best</w:t>
            </w:r>
            <w:proofErr w:type="spellEnd"/>
            <w:r w:rsidRPr="00370132">
              <w:rPr>
                <w:sz w:val="20"/>
                <w:szCs w:val="20"/>
              </w:rPr>
              <w:t xml:space="preserve"> </w:t>
            </w:r>
            <w:proofErr w:type="spellStart"/>
            <w:r w:rsidRPr="00370132">
              <w:rPr>
                <w:sz w:val="20"/>
                <w:szCs w:val="20"/>
              </w:rPr>
              <w:t>practices</w:t>
            </w:r>
            <w:proofErr w:type="spellEnd"/>
            <w:r w:rsidRPr="00370132">
              <w:rPr>
                <w:sz w:val="20"/>
                <w:szCs w:val="20"/>
              </w:rPr>
              <w:t xml:space="preserve">, and European </w:t>
            </w:r>
            <w:proofErr w:type="spellStart"/>
            <w:r w:rsidRPr="00370132">
              <w:rPr>
                <w:sz w:val="20"/>
                <w:szCs w:val="20"/>
              </w:rPr>
              <w:t>policies</w:t>
            </w:r>
            <w:proofErr w:type="spellEnd"/>
            <w:r w:rsidRPr="00370132">
              <w:rPr>
                <w:sz w:val="20"/>
                <w:szCs w:val="20"/>
              </w:rPr>
              <w:t xml:space="preserve">, </w:t>
            </w:r>
            <w:proofErr w:type="spellStart"/>
            <w:r w:rsidRPr="00370132">
              <w:rPr>
                <w:sz w:val="20"/>
                <w:szCs w:val="20"/>
              </w:rPr>
              <w:t>equipping</w:t>
            </w:r>
            <w:proofErr w:type="spellEnd"/>
            <w:r w:rsidRPr="00370132">
              <w:rPr>
                <w:sz w:val="20"/>
                <w:szCs w:val="20"/>
              </w:rPr>
              <w:t xml:space="preserve"> </w:t>
            </w:r>
            <w:proofErr w:type="spellStart"/>
            <w:r w:rsidRPr="00370132">
              <w:rPr>
                <w:sz w:val="20"/>
                <w:szCs w:val="20"/>
              </w:rPr>
              <w:t>students</w:t>
            </w:r>
            <w:proofErr w:type="spellEnd"/>
            <w:r w:rsidRPr="00370132">
              <w:rPr>
                <w:sz w:val="20"/>
                <w:szCs w:val="20"/>
              </w:rPr>
              <w:t xml:space="preserve"> </w:t>
            </w:r>
            <w:proofErr w:type="spellStart"/>
            <w:r w:rsidRPr="00370132">
              <w:rPr>
                <w:sz w:val="20"/>
                <w:szCs w:val="20"/>
              </w:rPr>
              <w:t>with</w:t>
            </w:r>
            <w:proofErr w:type="spellEnd"/>
            <w:r w:rsidRPr="00370132">
              <w:rPr>
                <w:sz w:val="20"/>
                <w:szCs w:val="20"/>
              </w:rPr>
              <w:t xml:space="preserve"> </w:t>
            </w:r>
            <w:proofErr w:type="spellStart"/>
            <w:r w:rsidRPr="00370132">
              <w:rPr>
                <w:sz w:val="20"/>
                <w:szCs w:val="20"/>
              </w:rPr>
              <w:t>practical</w:t>
            </w:r>
            <w:proofErr w:type="spellEnd"/>
            <w:r w:rsidRPr="00370132">
              <w:rPr>
                <w:sz w:val="20"/>
                <w:szCs w:val="20"/>
              </w:rPr>
              <w:t xml:space="preserve"> </w:t>
            </w:r>
            <w:proofErr w:type="spellStart"/>
            <w:r w:rsidRPr="00370132">
              <w:rPr>
                <w:sz w:val="20"/>
                <w:szCs w:val="20"/>
              </w:rPr>
              <w:t>strategies</w:t>
            </w:r>
            <w:proofErr w:type="spellEnd"/>
            <w:r w:rsidRPr="00370132">
              <w:rPr>
                <w:sz w:val="20"/>
                <w:szCs w:val="20"/>
              </w:rPr>
              <w:t xml:space="preserve"> </w:t>
            </w:r>
            <w:proofErr w:type="spellStart"/>
            <w:r w:rsidRPr="00370132">
              <w:rPr>
                <w:sz w:val="20"/>
                <w:szCs w:val="20"/>
              </w:rPr>
              <w:t>to</w:t>
            </w:r>
            <w:proofErr w:type="spellEnd"/>
            <w:r w:rsidRPr="00370132">
              <w:rPr>
                <w:sz w:val="20"/>
                <w:szCs w:val="20"/>
              </w:rPr>
              <w:t xml:space="preserve"> manage large-</w:t>
            </w:r>
            <w:proofErr w:type="spellStart"/>
            <w:r w:rsidRPr="00370132">
              <w:rPr>
                <w:sz w:val="20"/>
                <w:szCs w:val="20"/>
              </w:rPr>
              <w:t>scale</w:t>
            </w:r>
            <w:proofErr w:type="spellEnd"/>
            <w:r w:rsidRPr="00370132">
              <w:rPr>
                <w:sz w:val="20"/>
                <w:szCs w:val="20"/>
              </w:rPr>
              <w:t>, multi-</w:t>
            </w:r>
            <w:proofErr w:type="spellStart"/>
            <w:r w:rsidRPr="00370132">
              <w:rPr>
                <w:sz w:val="20"/>
                <w:szCs w:val="20"/>
              </w:rPr>
              <w:t>stakeholder</w:t>
            </w:r>
            <w:proofErr w:type="spellEnd"/>
            <w:r w:rsidRPr="00370132">
              <w:rPr>
                <w:sz w:val="20"/>
                <w:szCs w:val="20"/>
              </w:rPr>
              <w:t xml:space="preserve"> regional initiatives.</w:t>
            </w:r>
          </w:p>
        </w:tc>
      </w:tr>
      <w:tr w:rsidR="00BD75E2" w14:paraId="4D6B353F" w14:textId="77777777" w:rsidTr="006357BD">
        <w:trPr>
          <w:trHeight w:val="1124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EB524" w14:textId="3B62F20E" w:rsidR="00BD75E2" w:rsidRDefault="00BD75E2" w:rsidP="006357BD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86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81306" w14:textId="77777777" w:rsidR="00BD75E2" w:rsidRDefault="00BD75E2" w:rsidP="006357BD">
            <w:pPr>
              <w:widowControl w:val="0"/>
              <w:rPr>
                <w:rFonts w:eastAsia="Batang"/>
                <w:sz w:val="20"/>
                <w:lang w:val="en-US"/>
              </w:rPr>
            </w:pPr>
            <w:r>
              <w:rPr>
                <w:rFonts w:eastAsia="Batang"/>
                <w:b/>
                <w:sz w:val="20"/>
                <w:lang w:val="en-US"/>
              </w:rPr>
              <w:t>Pre- and Co-requisites</w:t>
            </w:r>
          </w:p>
          <w:p w14:paraId="7A78532A" w14:textId="3DB2CFA4" w:rsidR="00370132" w:rsidRPr="00370132" w:rsidRDefault="00370132" w:rsidP="00370132">
            <w:pPr>
              <w:widowControl w:val="0"/>
              <w:rPr>
                <w:rFonts w:eastAsia="Batang"/>
                <w:sz w:val="20"/>
                <w:lang w:val="en-US"/>
              </w:rPr>
            </w:pPr>
            <w:r w:rsidRPr="00370132">
              <w:rPr>
                <w:rFonts w:eastAsia="Batang"/>
                <w:sz w:val="20"/>
                <w:lang w:val="en-US"/>
              </w:rPr>
              <w:t xml:space="preserve">Recommended: Basic knowledge of </w:t>
            </w:r>
            <w:r>
              <w:rPr>
                <w:rFonts w:eastAsia="Batang"/>
                <w:sz w:val="20"/>
                <w:lang w:val="en-US"/>
              </w:rPr>
              <w:t>PM</w:t>
            </w:r>
          </w:p>
          <w:p w14:paraId="442EAB37" w14:textId="751B71B5" w:rsidR="00BD75E2" w:rsidRPr="00BD75E2" w:rsidRDefault="00370132" w:rsidP="00370132">
            <w:pPr>
              <w:widowControl w:val="0"/>
              <w:rPr>
                <w:rFonts w:eastAsia="Batang"/>
                <w:sz w:val="20"/>
                <w:lang w:val="en-US"/>
              </w:rPr>
            </w:pPr>
            <w:r w:rsidRPr="00370132">
              <w:rPr>
                <w:rFonts w:eastAsia="Batang"/>
                <w:sz w:val="20"/>
                <w:lang w:val="en-US"/>
              </w:rPr>
              <w:t>Optional: Understanding of regional development policies and governance frameworks</w:t>
            </w:r>
          </w:p>
        </w:tc>
      </w:tr>
      <w:tr w:rsidR="003470A6" w14:paraId="68D8CCE5" w14:textId="77777777" w:rsidTr="00370132">
        <w:trPr>
          <w:trHeight w:val="3251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11205" w14:textId="5FF8E365" w:rsidR="003470A6" w:rsidRDefault="00BD75E2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86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D1C16" w14:textId="064DBFFF" w:rsidR="003470A6" w:rsidRDefault="00BD75E2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Module </w:t>
            </w:r>
            <w:proofErr w:type="spellStart"/>
            <w:r>
              <w:rPr>
                <w:b/>
                <w:sz w:val="20"/>
                <w:szCs w:val="20"/>
              </w:rPr>
              <w:t>Structure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  <w:p w14:paraId="5EEFCC13" w14:textId="77777777" w:rsidR="00370132" w:rsidRPr="00370132" w:rsidRDefault="00370132" w:rsidP="00370132">
            <w:pPr>
              <w:pStyle w:val="ListParagraph"/>
              <w:widowControl w:val="0"/>
              <w:numPr>
                <w:ilvl w:val="0"/>
                <w:numId w:val="3"/>
              </w:numPr>
              <w:spacing w:line="276" w:lineRule="auto"/>
              <w:jc w:val="left"/>
              <w:rPr>
                <w:sz w:val="20"/>
                <w:szCs w:val="20"/>
              </w:rPr>
            </w:pPr>
            <w:proofErr w:type="spellStart"/>
            <w:r w:rsidRPr="00370132">
              <w:rPr>
                <w:sz w:val="20"/>
                <w:szCs w:val="20"/>
              </w:rPr>
              <w:t>Introduction</w:t>
            </w:r>
            <w:proofErr w:type="spellEnd"/>
            <w:r w:rsidRPr="00370132">
              <w:rPr>
                <w:sz w:val="20"/>
                <w:szCs w:val="20"/>
              </w:rPr>
              <w:t xml:space="preserve"> </w:t>
            </w:r>
            <w:proofErr w:type="spellStart"/>
            <w:r w:rsidRPr="00370132">
              <w:rPr>
                <w:sz w:val="20"/>
                <w:szCs w:val="20"/>
              </w:rPr>
              <w:t>to</w:t>
            </w:r>
            <w:proofErr w:type="spellEnd"/>
            <w:r w:rsidRPr="00370132">
              <w:rPr>
                <w:sz w:val="20"/>
                <w:szCs w:val="20"/>
              </w:rPr>
              <w:t xml:space="preserve"> Regional PM &amp; PPM</w:t>
            </w:r>
          </w:p>
          <w:p w14:paraId="3074D3EA" w14:textId="77777777" w:rsidR="00370132" w:rsidRPr="00370132" w:rsidRDefault="00370132" w:rsidP="00370132">
            <w:pPr>
              <w:pStyle w:val="ListParagraph"/>
              <w:widowControl w:val="0"/>
              <w:numPr>
                <w:ilvl w:val="0"/>
                <w:numId w:val="3"/>
              </w:numPr>
              <w:spacing w:line="276" w:lineRule="auto"/>
              <w:jc w:val="left"/>
              <w:rPr>
                <w:sz w:val="20"/>
                <w:szCs w:val="20"/>
              </w:rPr>
            </w:pPr>
            <w:proofErr w:type="spellStart"/>
            <w:r w:rsidRPr="00370132">
              <w:rPr>
                <w:sz w:val="20"/>
                <w:szCs w:val="20"/>
              </w:rPr>
              <w:t>Governance</w:t>
            </w:r>
            <w:proofErr w:type="spellEnd"/>
            <w:r w:rsidRPr="00370132">
              <w:rPr>
                <w:sz w:val="20"/>
                <w:szCs w:val="20"/>
              </w:rPr>
              <w:t xml:space="preserve"> &amp; Policy Frameworks in Regional Development</w:t>
            </w:r>
          </w:p>
          <w:p w14:paraId="0CF277C6" w14:textId="77777777" w:rsidR="00370132" w:rsidRPr="00370132" w:rsidRDefault="00370132" w:rsidP="00370132">
            <w:pPr>
              <w:pStyle w:val="ListParagraph"/>
              <w:widowControl w:val="0"/>
              <w:numPr>
                <w:ilvl w:val="0"/>
                <w:numId w:val="3"/>
              </w:numPr>
              <w:spacing w:line="276" w:lineRule="auto"/>
              <w:jc w:val="left"/>
              <w:rPr>
                <w:sz w:val="20"/>
                <w:szCs w:val="20"/>
              </w:rPr>
            </w:pPr>
            <w:r w:rsidRPr="00370132">
              <w:rPr>
                <w:sz w:val="20"/>
                <w:szCs w:val="20"/>
              </w:rPr>
              <w:t xml:space="preserve">Stakeholder Engagement &amp; Multi-Level </w:t>
            </w:r>
            <w:proofErr w:type="spellStart"/>
            <w:r w:rsidRPr="00370132">
              <w:rPr>
                <w:sz w:val="20"/>
                <w:szCs w:val="20"/>
              </w:rPr>
              <w:t>Governance</w:t>
            </w:r>
            <w:proofErr w:type="spellEnd"/>
          </w:p>
          <w:p w14:paraId="4CE9B082" w14:textId="77777777" w:rsidR="00370132" w:rsidRPr="00370132" w:rsidRDefault="00370132" w:rsidP="00370132">
            <w:pPr>
              <w:pStyle w:val="ListParagraph"/>
              <w:widowControl w:val="0"/>
              <w:numPr>
                <w:ilvl w:val="0"/>
                <w:numId w:val="3"/>
              </w:numPr>
              <w:spacing w:line="276" w:lineRule="auto"/>
              <w:jc w:val="left"/>
              <w:rPr>
                <w:sz w:val="20"/>
                <w:szCs w:val="20"/>
              </w:rPr>
            </w:pPr>
            <w:r w:rsidRPr="00370132">
              <w:rPr>
                <w:sz w:val="20"/>
                <w:szCs w:val="20"/>
              </w:rPr>
              <w:t xml:space="preserve">Programme &amp; Portfolio Management </w:t>
            </w:r>
            <w:proofErr w:type="spellStart"/>
            <w:r w:rsidRPr="00370132">
              <w:rPr>
                <w:sz w:val="20"/>
                <w:szCs w:val="20"/>
              </w:rPr>
              <w:t>Methodologies</w:t>
            </w:r>
            <w:proofErr w:type="spellEnd"/>
          </w:p>
          <w:p w14:paraId="3C25534D" w14:textId="77777777" w:rsidR="00370132" w:rsidRPr="00370132" w:rsidRDefault="00370132" w:rsidP="00370132">
            <w:pPr>
              <w:pStyle w:val="ListParagraph"/>
              <w:widowControl w:val="0"/>
              <w:numPr>
                <w:ilvl w:val="0"/>
                <w:numId w:val="3"/>
              </w:numPr>
              <w:spacing w:line="276" w:lineRule="auto"/>
              <w:jc w:val="left"/>
              <w:rPr>
                <w:sz w:val="20"/>
                <w:szCs w:val="20"/>
              </w:rPr>
            </w:pPr>
            <w:r w:rsidRPr="00370132">
              <w:rPr>
                <w:sz w:val="20"/>
                <w:szCs w:val="20"/>
              </w:rPr>
              <w:t xml:space="preserve">Financial </w:t>
            </w:r>
            <w:proofErr w:type="spellStart"/>
            <w:r w:rsidRPr="00370132">
              <w:rPr>
                <w:sz w:val="20"/>
                <w:szCs w:val="20"/>
              </w:rPr>
              <w:t>Planning</w:t>
            </w:r>
            <w:proofErr w:type="spellEnd"/>
            <w:r w:rsidRPr="00370132">
              <w:rPr>
                <w:sz w:val="20"/>
                <w:szCs w:val="20"/>
              </w:rPr>
              <w:t xml:space="preserve"> &amp; Risk Management in Regional PM</w:t>
            </w:r>
          </w:p>
          <w:p w14:paraId="7EF99646" w14:textId="77777777" w:rsidR="00370132" w:rsidRPr="00370132" w:rsidRDefault="00370132" w:rsidP="00370132">
            <w:pPr>
              <w:pStyle w:val="ListParagraph"/>
              <w:widowControl w:val="0"/>
              <w:numPr>
                <w:ilvl w:val="0"/>
                <w:numId w:val="3"/>
              </w:numPr>
              <w:spacing w:line="276" w:lineRule="auto"/>
              <w:jc w:val="left"/>
              <w:rPr>
                <w:sz w:val="20"/>
                <w:szCs w:val="20"/>
              </w:rPr>
            </w:pPr>
            <w:proofErr w:type="spellStart"/>
            <w:r w:rsidRPr="00370132">
              <w:rPr>
                <w:sz w:val="20"/>
                <w:szCs w:val="20"/>
              </w:rPr>
              <w:t>Sustainability</w:t>
            </w:r>
            <w:proofErr w:type="spellEnd"/>
            <w:r w:rsidRPr="00370132">
              <w:rPr>
                <w:sz w:val="20"/>
                <w:szCs w:val="20"/>
              </w:rPr>
              <w:t xml:space="preserve"> &amp; Smart Cities in Regional Development</w:t>
            </w:r>
          </w:p>
          <w:p w14:paraId="4806EB73" w14:textId="77777777" w:rsidR="00370132" w:rsidRPr="00370132" w:rsidRDefault="00370132" w:rsidP="00370132">
            <w:pPr>
              <w:pStyle w:val="ListParagraph"/>
              <w:widowControl w:val="0"/>
              <w:numPr>
                <w:ilvl w:val="0"/>
                <w:numId w:val="3"/>
              </w:numPr>
              <w:spacing w:line="276" w:lineRule="auto"/>
              <w:jc w:val="left"/>
              <w:rPr>
                <w:sz w:val="20"/>
                <w:szCs w:val="20"/>
              </w:rPr>
            </w:pPr>
            <w:r w:rsidRPr="00370132">
              <w:rPr>
                <w:sz w:val="20"/>
                <w:szCs w:val="20"/>
              </w:rPr>
              <w:t>Project Evaluation &amp; Performance Measurement</w:t>
            </w:r>
          </w:p>
          <w:p w14:paraId="6D0B62C3" w14:textId="4C836388" w:rsidR="003470A6" w:rsidRPr="00370132" w:rsidRDefault="00370132" w:rsidP="00370132">
            <w:pPr>
              <w:pStyle w:val="ListParagraph"/>
              <w:widowControl w:val="0"/>
              <w:numPr>
                <w:ilvl w:val="0"/>
                <w:numId w:val="3"/>
              </w:numPr>
              <w:spacing w:line="276" w:lineRule="auto"/>
              <w:jc w:val="left"/>
              <w:rPr>
                <w:sz w:val="20"/>
                <w:szCs w:val="20"/>
              </w:rPr>
            </w:pPr>
            <w:r w:rsidRPr="00370132">
              <w:rPr>
                <w:sz w:val="20"/>
                <w:szCs w:val="20"/>
              </w:rPr>
              <w:t xml:space="preserve">Case Studies &amp; </w:t>
            </w:r>
            <w:proofErr w:type="spellStart"/>
            <w:r w:rsidRPr="00370132">
              <w:rPr>
                <w:sz w:val="20"/>
                <w:szCs w:val="20"/>
              </w:rPr>
              <w:t>Application</w:t>
            </w:r>
            <w:proofErr w:type="spellEnd"/>
            <w:r w:rsidRPr="00370132">
              <w:rPr>
                <w:sz w:val="20"/>
                <w:szCs w:val="20"/>
              </w:rPr>
              <w:t xml:space="preserve"> </w:t>
            </w:r>
            <w:proofErr w:type="spellStart"/>
            <w:r w:rsidRPr="00370132">
              <w:rPr>
                <w:sz w:val="20"/>
                <w:szCs w:val="20"/>
              </w:rPr>
              <w:t>of</w:t>
            </w:r>
            <w:proofErr w:type="spellEnd"/>
            <w:r w:rsidRPr="00370132">
              <w:rPr>
                <w:sz w:val="20"/>
                <w:szCs w:val="20"/>
              </w:rPr>
              <w:t xml:space="preserve"> PPM in Regional Development</w:t>
            </w:r>
          </w:p>
        </w:tc>
      </w:tr>
      <w:tr w:rsidR="003470A6" w14:paraId="3B6CD33B" w14:textId="77777777">
        <w:trPr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96959" w14:textId="123C3F83" w:rsidR="003470A6" w:rsidRDefault="00BD75E2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86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B545A" w14:textId="77777777" w:rsidR="003470A6" w:rsidRDefault="00000000">
            <w:pPr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Application</w:t>
            </w:r>
            <w:proofErr w:type="spellEnd"/>
            <w:r>
              <w:rPr>
                <w:b/>
                <w:sz w:val="20"/>
                <w:szCs w:val="20"/>
              </w:rPr>
              <w:t xml:space="preserve"> Focus</w:t>
            </w:r>
          </w:p>
          <w:p w14:paraId="1D2FAC15" w14:textId="77777777" w:rsidR="003470A6" w:rsidRDefault="003470A6">
            <w:pPr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</w:p>
          <w:p w14:paraId="48E95BA0" w14:textId="5B20ACFE" w:rsidR="003470A6" w:rsidRDefault="00370132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RPr="00370132">
              <w:rPr>
                <w:sz w:val="20"/>
                <w:szCs w:val="20"/>
              </w:rPr>
              <w:t xml:space="preserve">The </w:t>
            </w:r>
            <w:proofErr w:type="spellStart"/>
            <w:r w:rsidRPr="00370132">
              <w:rPr>
                <w:sz w:val="20"/>
                <w:szCs w:val="20"/>
              </w:rPr>
              <w:t>module</w:t>
            </w:r>
            <w:proofErr w:type="spellEnd"/>
            <w:r w:rsidRPr="00370132">
              <w:rPr>
                <w:sz w:val="20"/>
                <w:szCs w:val="20"/>
              </w:rPr>
              <w:t xml:space="preserve"> </w:t>
            </w:r>
            <w:proofErr w:type="spellStart"/>
            <w:r w:rsidRPr="00370132">
              <w:rPr>
                <w:sz w:val="20"/>
                <w:szCs w:val="20"/>
              </w:rPr>
              <w:t>applies</w:t>
            </w:r>
            <w:proofErr w:type="spellEnd"/>
            <w:r w:rsidRPr="00370132">
              <w:rPr>
                <w:sz w:val="20"/>
                <w:szCs w:val="20"/>
              </w:rPr>
              <w:t xml:space="preserve"> real-</w:t>
            </w:r>
            <w:proofErr w:type="spellStart"/>
            <w:r w:rsidRPr="00370132">
              <w:rPr>
                <w:sz w:val="20"/>
                <w:szCs w:val="20"/>
              </w:rPr>
              <w:t>world</w:t>
            </w:r>
            <w:proofErr w:type="spellEnd"/>
            <w:r w:rsidRPr="00370132">
              <w:rPr>
                <w:sz w:val="20"/>
                <w:szCs w:val="20"/>
              </w:rPr>
              <w:t xml:space="preserve"> </w:t>
            </w:r>
            <w:proofErr w:type="spellStart"/>
            <w:r w:rsidRPr="00370132">
              <w:rPr>
                <w:sz w:val="20"/>
                <w:szCs w:val="20"/>
              </w:rPr>
              <w:t>project</w:t>
            </w:r>
            <w:proofErr w:type="spellEnd"/>
            <w:r w:rsidRPr="00370132">
              <w:rPr>
                <w:sz w:val="20"/>
                <w:szCs w:val="20"/>
              </w:rPr>
              <w:t xml:space="preserve"> </w:t>
            </w:r>
            <w:proofErr w:type="spellStart"/>
            <w:r w:rsidRPr="00370132">
              <w:rPr>
                <w:sz w:val="20"/>
                <w:szCs w:val="20"/>
              </w:rPr>
              <w:t>management</w:t>
            </w:r>
            <w:proofErr w:type="spellEnd"/>
            <w:r w:rsidRPr="00370132">
              <w:rPr>
                <w:sz w:val="20"/>
                <w:szCs w:val="20"/>
              </w:rPr>
              <w:t xml:space="preserve"> </w:t>
            </w:r>
            <w:proofErr w:type="spellStart"/>
            <w:r w:rsidRPr="00370132">
              <w:rPr>
                <w:sz w:val="20"/>
                <w:szCs w:val="20"/>
              </w:rPr>
              <w:t>methodologies</w:t>
            </w:r>
            <w:proofErr w:type="spellEnd"/>
            <w:r w:rsidRPr="00370132">
              <w:rPr>
                <w:sz w:val="20"/>
                <w:szCs w:val="20"/>
              </w:rPr>
              <w:t xml:space="preserve"> </w:t>
            </w:r>
            <w:proofErr w:type="spellStart"/>
            <w:r w:rsidRPr="00370132">
              <w:rPr>
                <w:sz w:val="20"/>
                <w:szCs w:val="20"/>
              </w:rPr>
              <w:t>to</w:t>
            </w:r>
            <w:proofErr w:type="spellEnd"/>
            <w:r w:rsidRPr="00370132">
              <w:rPr>
                <w:sz w:val="20"/>
                <w:szCs w:val="20"/>
              </w:rPr>
              <w:t xml:space="preserve"> regional </w:t>
            </w:r>
            <w:proofErr w:type="spellStart"/>
            <w:r w:rsidRPr="00370132">
              <w:rPr>
                <w:sz w:val="20"/>
                <w:szCs w:val="20"/>
              </w:rPr>
              <w:t>development</w:t>
            </w:r>
            <w:proofErr w:type="spellEnd"/>
            <w:r w:rsidRPr="00370132">
              <w:rPr>
                <w:sz w:val="20"/>
                <w:szCs w:val="20"/>
              </w:rPr>
              <w:t xml:space="preserve"> initiatives. </w:t>
            </w:r>
            <w:proofErr w:type="spellStart"/>
            <w:r w:rsidRPr="00370132">
              <w:rPr>
                <w:sz w:val="20"/>
                <w:szCs w:val="20"/>
              </w:rPr>
              <w:t>Students</w:t>
            </w:r>
            <w:proofErr w:type="spellEnd"/>
            <w:r w:rsidRPr="00370132">
              <w:rPr>
                <w:sz w:val="20"/>
                <w:szCs w:val="20"/>
              </w:rPr>
              <w:t xml:space="preserve"> will </w:t>
            </w:r>
            <w:proofErr w:type="spellStart"/>
            <w:r w:rsidRPr="00370132">
              <w:rPr>
                <w:sz w:val="20"/>
                <w:szCs w:val="20"/>
              </w:rPr>
              <w:t>analyze</w:t>
            </w:r>
            <w:proofErr w:type="spellEnd"/>
            <w:r w:rsidRPr="00370132">
              <w:rPr>
                <w:sz w:val="20"/>
                <w:szCs w:val="20"/>
              </w:rPr>
              <w:t xml:space="preserve"> EU-</w:t>
            </w:r>
            <w:proofErr w:type="spellStart"/>
            <w:r w:rsidRPr="00370132">
              <w:rPr>
                <w:sz w:val="20"/>
                <w:szCs w:val="20"/>
              </w:rPr>
              <w:t>funded</w:t>
            </w:r>
            <w:proofErr w:type="spellEnd"/>
            <w:r w:rsidRPr="00370132">
              <w:rPr>
                <w:sz w:val="20"/>
                <w:szCs w:val="20"/>
              </w:rPr>
              <w:t xml:space="preserve"> </w:t>
            </w:r>
            <w:proofErr w:type="spellStart"/>
            <w:r w:rsidRPr="00370132">
              <w:rPr>
                <w:sz w:val="20"/>
                <w:szCs w:val="20"/>
              </w:rPr>
              <w:t>programmes</w:t>
            </w:r>
            <w:proofErr w:type="spellEnd"/>
            <w:r w:rsidRPr="00370132">
              <w:rPr>
                <w:sz w:val="20"/>
                <w:szCs w:val="20"/>
              </w:rPr>
              <w:t xml:space="preserve">, urban </w:t>
            </w:r>
            <w:proofErr w:type="spellStart"/>
            <w:r w:rsidRPr="00370132">
              <w:rPr>
                <w:sz w:val="20"/>
                <w:szCs w:val="20"/>
              </w:rPr>
              <w:t>transformation</w:t>
            </w:r>
            <w:proofErr w:type="spellEnd"/>
            <w:r w:rsidRPr="00370132">
              <w:rPr>
                <w:sz w:val="20"/>
                <w:szCs w:val="20"/>
              </w:rPr>
              <w:t xml:space="preserve"> </w:t>
            </w:r>
            <w:proofErr w:type="spellStart"/>
            <w:r w:rsidRPr="00370132">
              <w:rPr>
                <w:sz w:val="20"/>
                <w:szCs w:val="20"/>
              </w:rPr>
              <w:t>projects</w:t>
            </w:r>
            <w:proofErr w:type="spellEnd"/>
            <w:r w:rsidRPr="00370132">
              <w:rPr>
                <w:sz w:val="20"/>
                <w:szCs w:val="20"/>
              </w:rPr>
              <w:t xml:space="preserve">, and </w:t>
            </w:r>
            <w:proofErr w:type="spellStart"/>
            <w:r w:rsidRPr="00370132">
              <w:rPr>
                <w:sz w:val="20"/>
                <w:szCs w:val="20"/>
              </w:rPr>
              <w:t>cross-border</w:t>
            </w:r>
            <w:proofErr w:type="spellEnd"/>
            <w:r w:rsidRPr="00370132">
              <w:rPr>
                <w:sz w:val="20"/>
                <w:szCs w:val="20"/>
              </w:rPr>
              <w:t xml:space="preserve"> </w:t>
            </w:r>
            <w:proofErr w:type="spellStart"/>
            <w:r w:rsidRPr="00370132">
              <w:rPr>
                <w:sz w:val="20"/>
                <w:szCs w:val="20"/>
              </w:rPr>
              <w:t>collaboration</w:t>
            </w:r>
            <w:proofErr w:type="spellEnd"/>
            <w:r w:rsidRPr="00370132">
              <w:rPr>
                <w:sz w:val="20"/>
                <w:szCs w:val="20"/>
              </w:rPr>
              <w:t xml:space="preserve"> </w:t>
            </w:r>
            <w:proofErr w:type="spellStart"/>
            <w:r w:rsidRPr="00370132">
              <w:rPr>
                <w:sz w:val="20"/>
                <w:szCs w:val="20"/>
              </w:rPr>
              <w:t>efforts</w:t>
            </w:r>
            <w:proofErr w:type="spellEnd"/>
            <w:r w:rsidRPr="00370132">
              <w:rPr>
                <w:sz w:val="20"/>
                <w:szCs w:val="20"/>
              </w:rPr>
              <w:t xml:space="preserve">. The </w:t>
            </w:r>
            <w:proofErr w:type="spellStart"/>
            <w:r w:rsidRPr="00370132">
              <w:rPr>
                <w:sz w:val="20"/>
                <w:szCs w:val="20"/>
              </w:rPr>
              <w:t>course</w:t>
            </w:r>
            <w:proofErr w:type="spellEnd"/>
            <w:r w:rsidRPr="00370132">
              <w:rPr>
                <w:sz w:val="20"/>
                <w:szCs w:val="20"/>
              </w:rPr>
              <w:t xml:space="preserve"> </w:t>
            </w:r>
            <w:proofErr w:type="spellStart"/>
            <w:r w:rsidRPr="00370132">
              <w:rPr>
                <w:sz w:val="20"/>
                <w:szCs w:val="20"/>
              </w:rPr>
              <w:t>promotes</w:t>
            </w:r>
            <w:proofErr w:type="spellEnd"/>
            <w:r w:rsidRPr="00370132">
              <w:rPr>
                <w:sz w:val="20"/>
                <w:szCs w:val="20"/>
              </w:rPr>
              <w:t xml:space="preserve"> </w:t>
            </w:r>
            <w:proofErr w:type="spellStart"/>
            <w:r w:rsidRPr="00370132">
              <w:rPr>
                <w:sz w:val="20"/>
                <w:szCs w:val="20"/>
              </w:rPr>
              <w:t>practical</w:t>
            </w:r>
            <w:proofErr w:type="spellEnd"/>
            <w:r w:rsidRPr="00370132">
              <w:rPr>
                <w:sz w:val="20"/>
                <w:szCs w:val="20"/>
              </w:rPr>
              <w:t xml:space="preserve"> problem-</w:t>
            </w:r>
            <w:proofErr w:type="spellStart"/>
            <w:r w:rsidRPr="00370132">
              <w:rPr>
                <w:sz w:val="20"/>
                <w:szCs w:val="20"/>
              </w:rPr>
              <w:t>solving</w:t>
            </w:r>
            <w:proofErr w:type="spellEnd"/>
            <w:r w:rsidRPr="00370132">
              <w:rPr>
                <w:sz w:val="20"/>
                <w:szCs w:val="20"/>
              </w:rPr>
              <w:t xml:space="preserve">, </w:t>
            </w:r>
            <w:proofErr w:type="spellStart"/>
            <w:r w:rsidRPr="00370132">
              <w:rPr>
                <w:sz w:val="20"/>
                <w:szCs w:val="20"/>
              </w:rPr>
              <w:t>encouraging</w:t>
            </w:r>
            <w:proofErr w:type="spellEnd"/>
            <w:r w:rsidRPr="00370132">
              <w:rPr>
                <w:sz w:val="20"/>
                <w:szCs w:val="20"/>
              </w:rPr>
              <w:t xml:space="preserve"> </w:t>
            </w:r>
            <w:proofErr w:type="spellStart"/>
            <w:r w:rsidRPr="00370132">
              <w:rPr>
                <w:sz w:val="20"/>
                <w:szCs w:val="20"/>
              </w:rPr>
              <w:lastRenderedPageBreak/>
              <w:t>students</w:t>
            </w:r>
            <w:proofErr w:type="spellEnd"/>
            <w:r w:rsidRPr="00370132">
              <w:rPr>
                <w:sz w:val="20"/>
                <w:szCs w:val="20"/>
              </w:rPr>
              <w:t xml:space="preserve"> </w:t>
            </w:r>
            <w:proofErr w:type="spellStart"/>
            <w:r w:rsidRPr="00370132">
              <w:rPr>
                <w:sz w:val="20"/>
                <w:szCs w:val="20"/>
              </w:rPr>
              <w:t>to</w:t>
            </w:r>
            <w:proofErr w:type="spellEnd"/>
            <w:r w:rsidRPr="00370132">
              <w:rPr>
                <w:sz w:val="20"/>
                <w:szCs w:val="20"/>
              </w:rPr>
              <w:t xml:space="preserve"> </w:t>
            </w:r>
            <w:proofErr w:type="spellStart"/>
            <w:r w:rsidRPr="00370132">
              <w:rPr>
                <w:sz w:val="20"/>
                <w:szCs w:val="20"/>
              </w:rPr>
              <w:t>develop</w:t>
            </w:r>
            <w:proofErr w:type="spellEnd"/>
            <w:r w:rsidRPr="00370132">
              <w:rPr>
                <w:sz w:val="20"/>
                <w:szCs w:val="20"/>
              </w:rPr>
              <w:t xml:space="preserve"> </w:t>
            </w:r>
            <w:proofErr w:type="spellStart"/>
            <w:r w:rsidRPr="00370132">
              <w:rPr>
                <w:sz w:val="20"/>
                <w:szCs w:val="20"/>
              </w:rPr>
              <w:t>strategic</w:t>
            </w:r>
            <w:proofErr w:type="spellEnd"/>
            <w:r w:rsidRPr="00370132">
              <w:rPr>
                <w:sz w:val="20"/>
                <w:szCs w:val="20"/>
              </w:rPr>
              <w:t xml:space="preserve"> </w:t>
            </w:r>
            <w:proofErr w:type="spellStart"/>
            <w:r w:rsidRPr="00370132">
              <w:rPr>
                <w:sz w:val="20"/>
                <w:szCs w:val="20"/>
              </w:rPr>
              <w:t>solutions</w:t>
            </w:r>
            <w:proofErr w:type="spellEnd"/>
            <w:r w:rsidRPr="00370132">
              <w:rPr>
                <w:sz w:val="20"/>
                <w:szCs w:val="20"/>
              </w:rPr>
              <w:t xml:space="preserve"> </w:t>
            </w:r>
            <w:proofErr w:type="spellStart"/>
            <w:r w:rsidRPr="00370132">
              <w:rPr>
                <w:sz w:val="20"/>
                <w:szCs w:val="20"/>
              </w:rPr>
              <w:t>for</w:t>
            </w:r>
            <w:proofErr w:type="spellEnd"/>
            <w:r w:rsidRPr="00370132">
              <w:rPr>
                <w:sz w:val="20"/>
                <w:szCs w:val="20"/>
              </w:rPr>
              <w:t xml:space="preserve"> </w:t>
            </w:r>
            <w:proofErr w:type="spellStart"/>
            <w:r w:rsidRPr="00370132">
              <w:rPr>
                <w:sz w:val="20"/>
                <w:szCs w:val="20"/>
              </w:rPr>
              <w:t>challenges</w:t>
            </w:r>
            <w:proofErr w:type="spellEnd"/>
            <w:r w:rsidRPr="00370132">
              <w:rPr>
                <w:sz w:val="20"/>
                <w:szCs w:val="20"/>
              </w:rPr>
              <w:t xml:space="preserve"> such </w:t>
            </w:r>
            <w:proofErr w:type="spellStart"/>
            <w:r w:rsidRPr="00370132">
              <w:rPr>
                <w:sz w:val="20"/>
                <w:szCs w:val="20"/>
              </w:rPr>
              <w:t>as</w:t>
            </w:r>
            <w:proofErr w:type="spellEnd"/>
            <w:r w:rsidRPr="00370132">
              <w:rPr>
                <w:sz w:val="20"/>
                <w:szCs w:val="20"/>
              </w:rPr>
              <w:t xml:space="preserve"> urban </w:t>
            </w:r>
            <w:proofErr w:type="spellStart"/>
            <w:r w:rsidRPr="00370132">
              <w:rPr>
                <w:sz w:val="20"/>
                <w:szCs w:val="20"/>
              </w:rPr>
              <w:t>regeneration</w:t>
            </w:r>
            <w:proofErr w:type="spellEnd"/>
            <w:r w:rsidRPr="00370132">
              <w:rPr>
                <w:sz w:val="20"/>
                <w:szCs w:val="20"/>
              </w:rPr>
              <w:t xml:space="preserve">, </w:t>
            </w:r>
            <w:proofErr w:type="spellStart"/>
            <w:r w:rsidRPr="00370132">
              <w:rPr>
                <w:sz w:val="20"/>
                <w:szCs w:val="20"/>
              </w:rPr>
              <w:t>infrastructure</w:t>
            </w:r>
            <w:proofErr w:type="spellEnd"/>
            <w:r w:rsidRPr="00370132">
              <w:rPr>
                <w:sz w:val="20"/>
                <w:szCs w:val="20"/>
              </w:rPr>
              <w:t xml:space="preserve"> </w:t>
            </w:r>
            <w:proofErr w:type="spellStart"/>
            <w:r w:rsidRPr="00370132">
              <w:rPr>
                <w:sz w:val="20"/>
                <w:szCs w:val="20"/>
              </w:rPr>
              <w:t>development</w:t>
            </w:r>
            <w:proofErr w:type="spellEnd"/>
            <w:r w:rsidRPr="00370132">
              <w:rPr>
                <w:sz w:val="20"/>
                <w:szCs w:val="20"/>
              </w:rPr>
              <w:t xml:space="preserve">, and </w:t>
            </w:r>
            <w:proofErr w:type="spellStart"/>
            <w:r w:rsidRPr="00370132">
              <w:rPr>
                <w:sz w:val="20"/>
                <w:szCs w:val="20"/>
              </w:rPr>
              <w:t>climate</w:t>
            </w:r>
            <w:proofErr w:type="spellEnd"/>
            <w:r w:rsidRPr="00370132">
              <w:rPr>
                <w:sz w:val="20"/>
                <w:szCs w:val="20"/>
              </w:rPr>
              <w:t xml:space="preserve"> </w:t>
            </w:r>
            <w:proofErr w:type="spellStart"/>
            <w:r w:rsidRPr="00370132">
              <w:rPr>
                <w:sz w:val="20"/>
                <w:szCs w:val="20"/>
              </w:rPr>
              <w:t>adaptation</w:t>
            </w:r>
            <w:proofErr w:type="spellEnd"/>
            <w:r w:rsidRPr="00370132">
              <w:rPr>
                <w:sz w:val="20"/>
                <w:szCs w:val="20"/>
              </w:rPr>
              <w:t xml:space="preserve"> </w:t>
            </w:r>
            <w:proofErr w:type="spellStart"/>
            <w:r w:rsidRPr="00370132">
              <w:rPr>
                <w:sz w:val="20"/>
                <w:szCs w:val="20"/>
              </w:rPr>
              <w:t>planning</w:t>
            </w:r>
            <w:proofErr w:type="spellEnd"/>
            <w:r w:rsidRPr="00370132">
              <w:rPr>
                <w:sz w:val="20"/>
                <w:szCs w:val="20"/>
              </w:rPr>
              <w:t>.</w:t>
            </w:r>
          </w:p>
        </w:tc>
      </w:tr>
      <w:tr w:rsidR="003470A6" w14:paraId="0A787D8C" w14:textId="77777777">
        <w:trPr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B4D6E" w14:textId="29EA13B7" w:rsidR="003470A6" w:rsidRDefault="00BD75E2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6</w:t>
            </w:r>
          </w:p>
        </w:tc>
        <w:tc>
          <w:tcPr>
            <w:tcW w:w="86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C5E4F" w14:textId="3F53D536" w:rsidR="00370132" w:rsidRPr="00370132" w:rsidRDefault="0070460C" w:rsidP="0070460C">
            <w:pPr>
              <w:widowControl w:val="0"/>
              <w:spacing w:after="0"/>
              <w:rPr>
                <w:sz w:val="20"/>
                <w:szCs w:val="20"/>
              </w:rPr>
            </w:pPr>
            <w:r w:rsidRPr="0070460C">
              <w:rPr>
                <w:b/>
                <w:sz w:val="20"/>
                <w:szCs w:val="20"/>
              </w:rPr>
              <w:t xml:space="preserve">Assessment </w:t>
            </w:r>
            <w:proofErr w:type="spellStart"/>
            <w:r w:rsidRPr="0070460C">
              <w:rPr>
                <w:b/>
                <w:sz w:val="20"/>
                <w:szCs w:val="20"/>
              </w:rPr>
              <w:t>of</w:t>
            </w:r>
            <w:proofErr w:type="spellEnd"/>
            <w:r w:rsidRPr="0070460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0460C">
              <w:rPr>
                <w:b/>
                <w:sz w:val="20"/>
                <w:szCs w:val="20"/>
              </w:rPr>
              <w:t>the</w:t>
            </w:r>
            <w:proofErr w:type="spellEnd"/>
            <w:r w:rsidRPr="0070460C"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module</w:t>
            </w:r>
            <w:proofErr w:type="spellEnd"/>
            <w:r w:rsidR="00370132" w:rsidRPr="00370132">
              <w:rPr>
                <w:sz w:val="20"/>
                <w:szCs w:val="20"/>
              </w:rPr>
              <w:t>:</w:t>
            </w:r>
          </w:p>
          <w:p w14:paraId="1F6AE8F9" w14:textId="77777777" w:rsidR="00370132" w:rsidRPr="00370132" w:rsidRDefault="00370132" w:rsidP="0070460C">
            <w:pPr>
              <w:widowControl w:val="0"/>
              <w:numPr>
                <w:ilvl w:val="0"/>
                <w:numId w:val="4"/>
              </w:numPr>
              <w:spacing w:after="0" w:line="276" w:lineRule="auto"/>
              <w:rPr>
                <w:sz w:val="20"/>
                <w:szCs w:val="20"/>
              </w:rPr>
            </w:pPr>
            <w:r w:rsidRPr="00370132">
              <w:rPr>
                <w:sz w:val="20"/>
                <w:szCs w:val="20"/>
              </w:rPr>
              <w:t>Group Project (40%)</w:t>
            </w:r>
          </w:p>
          <w:p w14:paraId="63785E10" w14:textId="77777777" w:rsidR="00370132" w:rsidRPr="00370132" w:rsidRDefault="00370132" w:rsidP="0070460C">
            <w:pPr>
              <w:widowControl w:val="0"/>
              <w:numPr>
                <w:ilvl w:val="0"/>
                <w:numId w:val="4"/>
              </w:numPr>
              <w:spacing w:after="0" w:line="276" w:lineRule="auto"/>
              <w:rPr>
                <w:sz w:val="20"/>
                <w:szCs w:val="20"/>
              </w:rPr>
            </w:pPr>
            <w:r w:rsidRPr="00370132">
              <w:rPr>
                <w:sz w:val="20"/>
                <w:szCs w:val="20"/>
              </w:rPr>
              <w:t>Case Study Analysis (30%)</w:t>
            </w:r>
          </w:p>
          <w:p w14:paraId="125583AA" w14:textId="77777777" w:rsidR="003470A6" w:rsidRDefault="00370132" w:rsidP="0070460C">
            <w:pPr>
              <w:widowControl w:val="0"/>
              <w:numPr>
                <w:ilvl w:val="0"/>
                <w:numId w:val="4"/>
              </w:numPr>
              <w:spacing w:after="0" w:line="276" w:lineRule="auto"/>
              <w:jc w:val="left"/>
              <w:rPr>
                <w:sz w:val="20"/>
                <w:szCs w:val="20"/>
              </w:rPr>
            </w:pPr>
            <w:r w:rsidRPr="00370132">
              <w:rPr>
                <w:sz w:val="20"/>
                <w:szCs w:val="20"/>
              </w:rPr>
              <w:t xml:space="preserve">Final </w:t>
            </w:r>
            <w:proofErr w:type="spellStart"/>
            <w:r w:rsidRPr="00370132">
              <w:rPr>
                <w:sz w:val="20"/>
                <w:szCs w:val="20"/>
              </w:rPr>
              <w:t>Exam</w:t>
            </w:r>
            <w:proofErr w:type="spellEnd"/>
            <w:r w:rsidRPr="00370132">
              <w:rPr>
                <w:sz w:val="20"/>
                <w:szCs w:val="20"/>
              </w:rPr>
              <w:t xml:space="preserve"> (30%)</w:t>
            </w:r>
          </w:p>
          <w:p w14:paraId="00D6580B" w14:textId="77777777" w:rsidR="0070460C" w:rsidRDefault="0070460C" w:rsidP="0070460C">
            <w:pPr>
              <w:widowControl w:val="0"/>
              <w:spacing w:after="0" w:line="276" w:lineRule="auto"/>
              <w:jc w:val="left"/>
              <w:rPr>
                <w:sz w:val="20"/>
                <w:szCs w:val="20"/>
              </w:rPr>
            </w:pPr>
          </w:p>
          <w:p w14:paraId="17F64C80" w14:textId="3F01A233" w:rsidR="004F0EB2" w:rsidRDefault="004F0EB2" w:rsidP="0070460C">
            <w:pPr>
              <w:widowControl w:val="0"/>
              <w:spacing w:after="0" w:line="276" w:lineRule="auto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Grading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scale</w:t>
            </w:r>
            <w:proofErr w:type="spellEnd"/>
            <w:r>
              <w:rPr>
                <w:b/>
                <w:bCs/>
                <w:sz w:val="20"/>
                <w:szCs w:val="20"/>
              </w:rPr>
              <w:t>:</w:t>
            </w:r>
          </w:p>
          <w:p w14:paraId="0D6B1D52" w14:textId="77777777" w:rsidR="004F0EB2" w:rsidRDefault="004F0EB2" w:rsidP="0070460C">
            <w:pPr>
              <w:widowControl w:val="0"/>
              <w:spacing w:after="0" w:line="276" w:lineRule="auto"/>
              <w:jc w:val="left"/>
              <w:rPr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13"/>
              <w:gridCol w:w="2207"/>
              <w:gridCol w:w="3196"/>
            </w:tblGrid>
            <w:tr w:rsidR="004F0EB2" w:rsidRPr="004F0EB2" w14:paraId="52E2AF63" w14:textId="77777777" w:rsidTr="004F0EB2">
              <w:tc>
                <w:tcPr>
                  <w:tcW w:w="813" w:type="dxa"/>
                  <w:hideMark/>
                </w:tcPr>
                <w:p w14:paraId="7CAB1D03" w14:textId="77777777" w:rsidR="004F0EB2" w:rsidRPr="004F0EB2" w:rsidRDefault="004F0EB2" w:rsidP="004F0EB2">
                  <w:pPr>
                    <w:suppressAutoHyphens w:val="0"/>
                    <w:jc w:val="center"/>
                    <w:rPr>
                      <w:rFonts w:eastAsia="Times New Roman"/>
                      <w:b/>
                      <w:bCs/>
                      <w:sz w:val="20"/>
                      <w:szCs w:val="20"/>
                      <w:lang w:val="en-GB"/>
                    </w:rPr>
                  </w:pPr>
                  <w:r w:rsidRPr="004F0EB2">
                    <w:rPr>
                      <w:rFonts w:eastAsia="Times New Roman"/>
                      <w:b/>
                      <w:bCs/>
                      <w:sz w:val="20"/>
                      <w:szCs w:val="20"/>
                      <w:lang w:val="en-GB"/>
                    </w:rPr>
                    <w:t>Grade</w:t>
                  </w:r>
                </w:p>
              </w:tc>
              <w:tc>
                <w:tcPr>
                  <w:tcW w:w="2207" w:type="dxa"/>
                  <w:hideMark/>
                </w:tcPr>
                <w:p w14:paraId="4B85097B" w14:textId="77777777" w:rsidR="004F0EB2" w:rsidRPr="004F0EB2" w:rsidRDefault="004F0EB2" w:rsidP="004F0EB2">
                  <w:pPr>
                    <w:suppressAutoHyphens w:val="0"/>
                    <w:jc w:val="center"/>
                    <w:rPr>
                      <w:rFonts w:eastAsia="Times New Roman"/>
                      <w:b/>
                      <w:bCs/>
                      <w:sz w:val="20"/>
                      <w:szCs w:val="20"/>
                      <w:lang w:val="en-GB"/>
                    </w:rPr>
                  </w:pPr>
                  <w:r w:rsidRPr="004F0EB2">
                    <w:rPr>
                      <w:rFonts w:eastAsia="Times New Roman"/>
                      <w:b/>
                      <w:bCs/>
                      <w:sz w:val="20"/>
                      <w:szCs w:val="20"/>
                      <w:lang w:val="en-GB"/>
                    </w:rPr>
                    <w:t>Percentage Range (%)</w:t>
                  </w:r>
                </w:p>
              </w:tc>
              <w:tc>
                <w:tcPr>
                  <w:tcW w:w="3196" w:type="dxa"/>
                  <w:hideMark/>
                </w:tcPr>
                <w:p w14:paraId="49C9843B" w14:textId="77777777" w:rsidR="004F0EB2" w:rsidRPr="004F0EB2" w:rsidRDefault="004F0EB2" w:rsidP="004F0EB2">
                  <w:pPr>
                    <w:suppressAutoHyphens w:val="0"/>
                    <w:jc w:val="center"/>
                    <w:rPr>
                      <w:rFonts w:eastAsia="Times New Roman"/>
                      <w:b/>
                      <w:bCs/>
                      <w:sz w:val="20"/>
                      <w:szCs w:val="20"/>
                      <w:lang w:val="en-GB"/>
                    </w:rPr>
                  </w:pPr>
                  <w:r w:rsidRPr="004F0EB2">
                    <w:rPr>
                      <w:rFonts w:eastAsia="Times New Roman"/>
                      <w:b/>
                      <w:bCs/>
                      <w:sz w:val="20"/>
                      <w:szCs w:val="20"/>
                      <w:lang w:val="en-GB"/>
                    </w:rPr>
                    <w:t>Description</w:t>
                  </w:r>
                </w:p>
              </w:tc>
            </w:tr>
            <w:tr w:rsidR="004F0EB2" w:rsidRPr="004F0EB2" w14:paraId="566DF9A9" w14:textId="77777777" w:rsidTr="004F0EB2">
              <w:tc>
                <w:tcPr>
                  <w:tcW w:w="813" w:type="dxa"/>
                  <w:hideMark/>
                </w:tcPr>
                <w:p w14:paraId="5D6F4EA4" w14:textId="77777777" w:rsidR="004F0EB2" w:rsidRPr="004F0EB2" w:rsidRDefault="004F0EB2" w:rsidP="004F0EB2">
                  <w:pPr>
                    <w:suppressAutoHyphens w:val="0"/>
                    <w:jc w:val="left"/>
                    <w:rPr>
                      <w:rFonts w:eastAsia="Times New Roman"/>
                      <w:sz w:val="20"/>
                      <w:szCs w:val="20"/>
                      <w:lang w:val="en-GB"/>
                    </w:rPr>
                  </w:pPr>
                  <w:r w:rsidRPr="004F0EB2">
                    <w:rPr>
                      <w:rFonts w:eastAsia="Times New Roman"/>
                      <w:b/>
                      <w:bCs/>
                      <w:sz w:val="20"/>
                      <w:szCs w:val="20"/>
                      <w:lang w:val="en-GB"/>
                    </w:rPr>
                    <w:t>A</w:t>
                  </w:r>
                </w:p>
              </w:tc>
              <w:tc>
                <w:tcPr>
                  <w:tcW w:w="2207" w:type="dxa"/>
                  <w:hideMark/>
                </w:tcPr>
                <w:p w14:paraId="1228D614" w14:textId="77777777" w:rsidR="004F0EB2" w:rsidRPr="004F0EB2" w:rsidRDefault="004F0EB2" w:rsidP="004F0EB2">
                  <w:pPr>
                    <w:suppressAutoHyphens w:val="0"/>
                    <w:jc w:val="left"/>
                    <w:rPr>
                      <w:rFonts w:eastAsia="Times New Roman"/>
                      <w:sz w:val="20"/>
                      <w:szCs w:val="20"/>
                      <w:lang w:val="en-GB"/>
                    </w:rPr>
                  </w:pPr>
                  <w:r w:rsidRPr="004F0EB2">
                    <w:rPr>
                      <w:rFonts w:eastAsia="Times New Roman"/>
                      <w:sz w:val="20"/>
                      <w:szCs w:val="20"/>
                      <w:lang w:val="en-GB"/>
                    </w:rPr>
                    <w:t>95 – 100</w:t>
                  </w:r>
                </w:p>
              </w:tc>
              <w:tc>
                <w:tcPr>
                  <w:tcW w:w="3196" w:type="dxa"/>
                  <w:hideMark/>
                </w:tcPr>
                <w:p w14:paraId="43A97157" w14:textId="77777777" w:rsidR="004F0EB2" w:rsidRPr="004F0EB2" w:rsidRDefault="004F0EB2" w:rsidP="004F0EB2">
                  <w:pPr>
                    <w:suppressAutoHyphens w:val="0"/>
                    <w:jc w:val="left"/>
                    <w:rPr>
                      <w:rFonts w:eastAsia="Times New Roman"/>
                      <w:sz w:val="20"/>
                      <w:szCs w:val="20"/>
                      <w:lang w:val="en-GB"/>
                    </w:rPr>
                  </w:pPr>
                  <w:r w:rsidRPr="004F0EB2">
                    <w:rPr>
                      <w:rFonts w:eastAsia="Times New Roman"/>
                      <w:sz w:val="20"/>
                      <w:szCs w:val="20"/>
                      <w:lang w:val="en-GB"/>
                    </w:rPr>
                    <w:t>Excellent</w:t>
                  </w:r>
                </w:p>
              </w:tc>
            </w:tr>
            <w:tr w:rsidR="004F0EB2" w:rsidRPr="004F0EB2" w14:paraId="125AF43C" w14:textId="77777777" w:rsidTr="004F0EB2">
              <w:tc>
                <w:tcPr>
                  <w:tcW w:w="813" w:type="dxa"/>
                  <w:hideMark/>
                </w:tcPr>
                <w:p w14:paraId="540FA72E" w14:textId="77777777" w:rsidR="004F0EB2" w:rsidRPr="004F0EB2" w:rsidRDefault="004F0EB2" w:rsidP="004F0EB2">
                  <w:pPr>
                    <w:suppressAutoHyphens w:val="0"/>
                    <w:jc w:val="left"/>
                    <w:rPr>
                      <w:rFonts w:eastAsia="Times New Roman"/>
                      <w:sz w:val="20"/>
                      <w:szCs w:val="20"/>
                      <w:lang w:val="en-GB"/>
                    </w:rPr>
                  </w:pPr>
                  <w:r w:rsidRPr="004F0EB2">
                    <w:rPr>
                      <w:rFonts w:eastAsia="Times New Roman"/>
                      <w:b/>
                      <w:bCs/>
                      <w:sz w:val="20"/>
                      <w:szCs w:val="20"/>
                      <w:lang w:val="en-GB"/>
                    </w:rPr>
                    <w:t>B</w:t>
                  </w:r>
                </w:p>
              </w:tc>
              <w:tc>
                <w:tcPr>
                  <w:tcW w:w="2207" w:type="dxa"/>
                  <w:hideMark/>
                </w:tcPr>
                <w:p w14:paraId="778D60EE" w14:textId="77777777" w:rsidR="004F0EB2" w:rsidRPr="004F0EB2" w:rsidRDefault="004F0EB2" w:rsidP="004F0EB2">
                  <w:pPr>
                    <w:suppressAutoHyphens w:val="0"/>
                    <w:jc w:val="left"/>
                    <w:rPr>
                      <w:rFonts w:eastAsia="Times New Roman"/>
                      <w:sz w:val="20"/>
                      <w:szCs w:val="20"/>
                      <w:lang w:val="en-GB"/>
                    </w:rPr>
                  </w:pPr>
                  <w:r w:rsidRPr="004F0EB2">
                    <w:rPr>
                      <w:rFonts w:eastAsia="Times New Roman"/>
                      <w:sz w:val="20"/>
                      <w:szCs w:val="20"/>
                      <w:lang w:val="en-GB"/>
                    </w:rPr>
                    <w:t>85 – 94</w:t>
                  </w:r>
                </w:p>
              </w:tc>
              <w:tc>
                <w:tcPr>
                  <w:tcW w:w="3196" w:type="dxa"/>
                  <w:hideMark/>
                </w:tcPr>
                <w:p w14:paraId="05CC86C5" w14:textId="77777777" w:rsidR="004F0EB2" w:rsidRPr="004F0EB2" w:rsidRDefault="004F0EB2" w:rsidP="004F0EB2">
                  <w:pPr>
                    <w:suppressAutoHyphens w:val="0"/>
                    <w:jc w:val="left"/>
                    <w:rPr>
                      <w:rFonts w:eastAsia="Times New Roman"/>
                      <w:sz w:val="20"/>
                      <w:szCs w:val="20"/>
                      <w:lang w:val="en-GB"/>
                    </w:rPr>
                  </w:pPr>
                  <w:r w:rsidRPr="004F0EB2">
                    <w:rPr>
                      <w:rFonts w:eastAsia="Times New Roman"/>
                      <w:sz w:val="20"/>
                      <w:szCs w:val="20"/>
                      <w:lang w:val="en-GB"/>
                    </w:rPr>
                    <w:t>Very Good</w:t>
                  </w:r>
                </w:p>
              </w:tc>
            </w:tr>
            <w:tr w:rsidR="004F0EB2" w:rsidRPr="004F0EB2" w14:paraId="2CF46C9F" w14:textId="77777777" w:rsidTr="004F0EB2">
              <w:tc>
                <w:tcPr>
                  <w:tcW w:w="813" w:type="dxa"/>
                  <w:hideMark/>
                </w:tcPr>
                <w:p w14:paraId="46584BE8" w14:textId="77777777" w:rsidR="004F0EB2" w:rsidRPr="004F0EB2" w:rsidRDefault="004F0EB2" w:rsidP="004F0EB2">
                  <w:pPr>
                    <w:suppressAutoHyphens w:val="0"/>
                    <w:jc w:val="left"/>
                    <w:rPr>
                      <w:rFonts w:eastAsia="Times New Roman"/>
                      <w:sz w:val="20"/>
                      <w:szCs w:val="20"/>
                      <w:lang w:val="en-GB"/>
                    </w:rPr>
                  </w:pPr>
                  <w:r w:rsidRPr="004F0EB2">
                    <w:rPr>
                      <w:rFonts w:eastAsia="Times New Roman"/>
                      <w:b/>
                      <w:bCs/>
                      <w:sz w:val="20"/>
                      <w:szCs w:val="20"/>
                      <w:lang w:val="en-GB"/>
                    </w:rPr>
                    <w:t>C</w:t>
                  </w:r>
                </w:p>
              </w:tc>
              <w:tc>
                <w:tcPr>
                  <w:tcW w:w="2207" w:type="dxa"/>
                  <w:hideMark/>
                </w:tcPr>
                <w:p w14:paraId="4464E044" w14:textId="77777777" w:rsidR="004F0EB2" w:rsidRPr="004F0EB2" w:rsidRDefault="004F0EB2" w:rsidP="004F0EB2">
                  <w:pPr>
                    <w:suppressAutoHyphens w:val="0"/>
                    <w:jc w:val="left"/>
                    <w:rPr>
                      <w:rFonts w:eastAsia="Times New Roman"/>
                      <w:sz w:val="20"/>
                      <w:szCs w:val="20"/>
                      <w:lang w:val="en-GB"/>
                    </w:rPr>
                  </w:pPr>
                  <w:r w:rsidRPr="004F0EB2">
                    <w:rPr>
                      <w:rFonts w:eastAsia="Times New Roman"/>
                      <w:sz w:val="20"/>
                      <w:szCs w:val="20"/>
                      <w:lang w:val="en-GB"/>
                    </w:rPr>
                    <w:t>75 – 84</w:t>
                  </w:r>
                </w:p>
              </w:tc>
              <w:tc>
                <w:tcPr>
                  <w:tcW w:w="3196" w:type="dxa"/>
                  <w:hideMark/>
                </w:tcPr>
                <w:p w14:paraId="6CFC7A80" w14:textId="77777777" w:rsidR="004F0EB2" w:rsidRPr="004F0EB2" w:rsidRDefault="004F0EB2" w:rsidP="004F0EB2">
                  <w:pPr>
                    <w:suppressAutoHyphens w:val="0"/>
                    <w:jc w:val="left"/>
                    <w:rPr>
                      <w:rFonts w:eastAsia="Times New Roman"/>
                      <w:sz w:val="20"/>
                      <w:szCs w:val="20"/>
                      <w:lang w:val="en-GB"/>
                    </w:rPr>
                  </w:pPr>
                  <w:r w:rsidRPr="004F0EB2">
                    <w:rPr>
                      <w:rFonts w:eastAsia="Times New Roman"/>
                      <w:sz w:val="20"/>
                      <w:szCs w:val="20"/>
                      <w:lang w:val="en-GB"/>
                    </w:rPr>
                    <w:t>Good</w:t>
                  </w:r>
                </w:p>
              </w:tc>
            </w:tr>
            <w:tr w:rsidR="004F0EB2" w:rsidRPr="004F0EB2" w14:paraId="1724A6F7" w14:textId="77777777" w:rsidTr="004F0EB2">
              <w:tc>
                <w:tcPr>
                  <w:tcW w:w="813" w:type="dxa"/>
                  <w:hideMark/>
                </w:tcPr>
                <w:p w14:paraId="37F7EDCC" w14:textId="77777777" w:rsidR="004F0EB2" w:rsidRPr="004F0EB2" w:rsidRDefault="004F0EB2" w:rsidP="004F0EB2">
                  <w:pPr>
                    <w:suppressAutoHyphens w:val="0"/>
                    <w:jc w:val="left"/>
                    <w:rPr>
                      <w:rFonts w:eastAsia="Times New Roman"/>
                      <w:sz w:val="20"/>
                      <w:szCs w:val="20"/>
                      <w:lang w:val="en-GB"/>
                    </w:rPr>
                  </w:pPr>
                  <w:r w:rsidRPr="004F0EB2">
                    <w:rPr>
                      <w:rFonts w:eastAsia="Times New Roman"/>
                      <w:b/>
                      <w:bCs/>
                      <w:sz w:val="20"/>
                      <w:szCs w:val="20"/>
                      <w:lang w:val="en-GB"/>
                    </w:rPr>
                    <w:t>D</w:t>
                  </w:r>
                </w:p>
              </w:tc>
              <w:tc>
                <w:tcPr>
                  <w:tcW w:w="2207" w:type="dxa"/>
                  <w:hideMark/>
                </w:tcPr>
                <w:p w14:paraId="3D6A8360" w14:textId="77777777" w:rsidR="004F0EB2" w:rsidRPr="004F0EB2" w:rsidRDefault="004F0EB2" w:rsidP="004F0EB2">
                  <w:pPr>
                    <w:suppressAutoHyphens w:val="0"/>
                    <w:jc w:val="left"/>
                    <w:rPr>
                      <w:rFonts w:eastAsia="Times New Roman"/>
                      <w:sz w:val="20"/>
                      <w:szCs w:val="20"/>
                      <w:lang w:val="en-GB"/>
                    </w:rPr>
                  </w:pPr>
                  <w:r w:rsidRPr="004F0EB2">
                    <w:rPr>
                      <w:rFonts w:eastAsia="Times New Roman"/>
                      <w:sz w:val="20"/>
                      <w:szCs w:val="20"/>
                      <w:lang w:val="en-GB"/>
                    </w:rPr>
                    <w:t>65 – 74</w:t>
                  </w:r>
                </w:p>
              </w:tc>
              <w:tc>
                <w:tcPr>
                  <w:tcW w:w="3196" w:type="dxa"/>
                  <w:hideMark/>
                </w:tcPr>
                <w:p w14:paraId="3A3ED2AA" w14:textId="77777777" w:rsidR="004F0EB2" w:rsidRPr="004F0EB2" w:rsidRDefault="004F0EB2" w:rsidP="004F0EB2">
                  <w:pPr>
                    <w:suppressAutoHyphens w:val="0"/>
                    <w:jc w:val="left"/>
                    <w:rPr>
                      <w:rFonts w:eastAsia="Times New Roman"/>
                      <w:sz w:val="20"/>
                      <w:szCs w:val="20"/>
                      <w:lang w:val="en-GB"/>
                    </w:rPr>
                  </w:pPr>
                  <w:r w:rsidRPr="004F0EB2">
                    <w:rPr>
                      <w:rFonts w:eastAsia="Times New Roman"/>
                      <w:sz w:val="20"/>
                      <w:szCs w:val="20"/>
                      <w:lang w:val="en-GB"/>
                    </w:rPr>
                    <w:t>Satisfactory</w:t>
                  </w:r>
                </w:p>
              </w:tc>
            </w:tr>
            <w:tr w:rsidR="004F0EB2" w:rsidRPr="004F0EB2" w14:paraId="54D0708C" w14:textId="77777777" w:rsidTr="004F0EB2">
              <w:tc>
                <w:tcPr>
                  <w:tcW w:w="813" w:type="dxa"/>
                  <w:hideMark/>
                </w:tcPr>
                <w:p w14:paraId="74261816" w14:textId="77777777" w:rsidR="004F0EB2" w:rsidRPr="004F0EB2" w:rsidRDefault="004F0EB2" w:rsidP="004F0EB2">
                  <w:pPr>
                    <w:suppressAutoHyphens w:val="0"/>
                    <w:jc w:val="left"/>
                    <w:rPr>
                      <w:rFonts w:eastAsia="Times New Roman"/>
                      <w:sz w:val="20"/>
                      <w:szCs w:val="20"/>
                      <w:lang w:val="en-GB"/>
                    </w:rPr>
                  </w:pPr>
                  <w:r w:rsidRPr="004F0EB2">
                    <w:rPr>
                      <w:rFonts w:eastAsia="Times New Roman"/>
                      <w:b/>
                      <w:bCs/>
                      <w:sz w:val="20"/>
                      <w:szCs w:val="20"/>
                      <w:lang w:val="en-GB"/>
                    </w:rPr>
                    <w:t>E</w:t>
                  </w:r>
                </w:p>
              </w:tc>
              <w:tc>
                <w:tcPr>
                  <w:tcW w:w="2207" w:type="dxa"/>
                  <w:hideMark/>
                </w:tcPr>
                <w:p w14:paraId="7476F355" w14:textId="77777777" w:rsidR="004F0EB2" w:rsidRPr="004F0EB2" w:rsidRDefault="004F0EB2" w:rsidP="004F0EB2">
                  <w:pPr>
                    <w:suppressAutoHyphens w:val="0"/>
                    <w:jc w:val="left"/>
                    <w:rPr>
                      <w:rFonts w:eastAsia="Times New Roman"/>
                      <w:sz w:val="20"/>
                      <w:szCs w:val="20"/>
                      <w:lang w:val="en-GB"/>
                    </w:rPr>
                  </w:pPr>
                  <w:r w:rsidRPr="004F0EB2">
                    <w:rPr>
                      <w:rFonts w:eastAsia="Times New Roman"/>
                      <w:sz w:val="20"/>
                      <w:szCs w:val="20"/>
                      <w:lang w:val="en-GB"/>
                    </w:rPr>
                    <w:t>50 – 64</w:t>
                  </w:r>
                </w:p>
              </w:tc>
              <w:tc>
                <w:tcPr>
                  <w:tcW w:w="3196" w:type="dxa"/>
                  <w:hideMark/>
                </w:tcPr>
                <w:p w14:paraId="12620116" w14:textId="77777777" w:rsidR="004F0EB2" w:rsidRPr="004F0EB2" w:rsidRDefault="004F0EB2" w:rsidP="004F0EB2">
                  <w:pPr>
                    <w:suppressAutoHyphens w:val="0"/>
                    <w:jc w:val="left"/>
                    <w:rPr>
                      <w:rFonts w:eastAsia="Times New Roman"/>
                      <w:sz w:val="20"/>
                      <w:szCs w:val="20"/>
                      <w:lang w:val="en-GB"/>
                    </w:rPr>
                  </w:pPr>
                  <w:r w:rsidRPr="004F0EB2">
                    <w:rPr>
                      <w:rFonts w:eastAsia="Times New Roman"/>
                      <w:sz w:val="20"/>
                      <w:szCs w:val="20"/>
                      <w:lang w:val="en-GB"/>
                    </w:rPr>
                    <w:t>Sufficient / Pass</w:t>
                  </w:r>
                </w:p>
              </w:tc>
            </w:tr>
            <w:tr w:rsidR="004F0EB2" w:rsidRPr="004F0EB2" w14:paraId="2F058B8F" w14:textId="77777777" w:rsidTr="004F0EB2">
              <w:tc>
                <w:tcPr>
                  <w:tcW w:w="813" w:type="dxa"/>
                  <w:hideMark/>
                </w:tcPr>
                <w:p w14:paraId="5B7A969B" w14:textId="77777777" w:rsidR="004F0EB2" w:rsidRPr="004F0EB2" w:rsidRDefault="004F0EB2" w:rsidP="004F0EB2">
                  <w:pPr>
                    <w:suppressAutoHyphens w:val="0"/>
                    <w:jc w:val="left"/>
                    <w:rPr>
                      <w:rFonts w:eastAsia="Times New Roman"/>
                      <w:sz w:val="20"/>
                      <w:szCs w:val="20"/>
                      <w:lang w:val="en-GB"/>
                    </w:rPr>
                  </w:pPr>
                  <w:r w:rsidRPr="004F0EB2">
                    <w:rPr>
                      <w:rFonts w:eastAsia="Times New Roman"/>
                      <w:b/>
                      <w:bCs/>
                      <w:sz w:val="20"/>
                      <w:szCs w:val="20"/>
                      <w:lang w:val="en-GB"/>
                    </w:rPr>
                    <w:t>FX</w:t>
                  </w:r>
                </w:p>
              </w:tc>
              <w:tc>
                <w:tcPr>
                  <w:tcW w:w="2207" w:type="dxa"/>
                  <w:hideMark/>
                </w:tcPr>
                <w:p w14:paraId="08F099CB" w14:textId="77777777" w:rsidR="004F0EB2" w:rsidRPr="004F0EB2" w:rsidRDefault="004F0EB2" w:rsidP="004F0EB2">
                  <w:pPr>
                    <w:suppressAutoHyphens w:val="0"/>
                    <w:jc w:val="left"/>
                    <w:rPr>
                      <w:rFonts w:eastAsia="Times New Roman"/>
                      <w:sz w:val="20"/>
                      <w:szCs w:val="20"/>
                      <w:lang w:val="en-GB"/>
                    </w:rPr>
                  </w:pPr>
                  <w:r w:rsidRPr="004F0EB2">
                    <w:rPr>
                      <w:rFonts w:eastAsia="Times New Roman"/>
                      <w:sz w:val="20"/>
                      <w:szCs w:val="20"/>
                      <w:lang w:val="en-GB"/>
                    </w:rPr>
                    <w:t>40 – 49</w:t>
                  </w:r>
                </w:p>
              </w:tc>
              <w:tc>
                <w:tcPr>
                  <w:tcW w:w="3196" w:type="dxa"/>
                  <w:hideMark/>
                </w:tcPr>
                <w:p w14:paraId="1148C04A" w14:textId="77777777" w:rsidR="004F0EB2" w:rsidRPr="004F0EB2" w:rsidRDefault="004F0EB2" w:rsidP="004F0EB2">
                  <w:pPr>
                    <w:suppressAutoHyphens w:val="0"/>
                    <w:jc w:val="left"/>
                    <w:rPr>
                      <w:rFonts w:eastAsia="Times New Roman"/>
                      <w:sz w:val="20"/>
                      <w:szCs w:val="20"/>
                      <w:lang w:val="en-GB"/>
                    </w:rPr>
                  </w:pPr>
                  <w:r w:rsidRPr="004F0EB2">
                    <w:rPr>
                      <w:rFonts w:eastAsia="Times New Roman"/>
                      <w:sz w:val="20"/>
                      <w:szCs w:val="20"/>
                      <w:lang w:val="en-GB"/>
                    </w:rPr>
                    <w:t>Fail (Resit Possible)</w:t>
                  </w:r>
                </w:p>
              </w:tc>
            </w:tr>
            <w:tr w:rsidR="004F0EB2" w:rsidRPr="004F0EB2" w14:paraId="4212D4B7" w14:textId="77777777" w:rsidTr="004F0EB2">
              <w:tc>
                <w:tcPr>
                  <w:tcW w:w="813" w:type="dxa"/>
                  <w:hideMark/>
                </w:tcPr>
                <w:p w14:paraId="02C7BB07" w14:textId="77777777" w:rsidR="004F0EB2" w:rsidRPr="004F0EB2" w:rsidRDefault="004F0EB2" w:rsidP="004F0EB2">
                  <w:pPr>
                    <w:suppressAutoHyphens w:val="0"/>
                    <w:jc w:val="left"/>
                    <w:rPr>
                      <w:rFonts w:eastAsia="Times New Roman"/>
                      <w:sz w:val="20"/>
                      <w:szCs w:val="20"/>
                      <w:lang w:val="en-GB"/>
                    </w:rPr>
                  </w:pPr>
                  <w:r w:rsidRPr="004F0EB2">
                    <w:rPr>
                      <w:rFonts w:eastAsia="Times New Roman"/>
                      <w:b/>
                      <w:bCs/>
                      <w:sz w:val="20"/>
                      <w:szCs w:val="20"/>
                      <w:lang w:val="en-GB"/>
                    </w:rPr>
                    <w:t>F</w:t>
                  </w:r>
                </w:p>
              </w:tc>
              <w:tc>
                <w:tcPr>
                  <w:tcW w:w="2207" w:type="dxa"/>
                  <w:hideMark/>
                </w:tcPr>
                <w:p w14:paraId="435EB95C" w14:textId="77777777" w:rsidR="004F0EB2" w:rsidRPr="004F0EB2" w:rsidRDefault="004F0EB2" w:rsidP="004F0EB2">
                  <w:pPr>
                    <w:suppressAutoHyphens w:val="0"/>
                    <w:jc w:val="left"/>
                    <w:rPr>
                      <w:rFonts w:eastAsia="Times New Roman"/>
                      <w:sz w:val="20"/>
                      <w:szCs w:val="20"/>
                      <w:lang w:val="en-GB"/>
                    </w:rPr>
                  </w:pPr>
                  <w:r w:rsidRPr="004F0EB2">
                    <w:rPr>
                      <w:rFonts w:eastAsia="Times New Roman"/>
                      <w:sz w:val="20"/>
                      <w:szCs w:val="20"/>
                      <w:lang w:val="en-GB"/>
                    </w:rPr>
                    <w:t>0 – 39</w:t>
                  </w:r>
                </w:p>
              </w:tc>
              <w:tc>
                <w:tcPr>
                  <w:tcW w:w="3196" w:type="dxa"/>
                  <w:hideMark/>
                </w:tcPr>
                <w:p w14:paraId="23F9D2A5" w14:textId="77777777" w:rsidR="004F0EB2" w:rsidRPr="004F0EB2" w:rsidRDefault="004F0EB2" w:rsidP="004F0EB2">
                  <w:pPr>
                    <w:suppressAutoHyphens w:val="0"/>
                    <w:jc w:val="left"/>
                    <w:rPr>
                      <w:rFonts w:eastAsia="Times New Roman"/>
                      <w:sz w:val="20"/>
                      <w:szCs w:val="20"/>
                      <w:lang w:val="en-GB"/>
                    </w:rPr>
                  </w:pPr>
                  <w:r w:rsidRPr="004F0EB2">
                    <w:rPr>
                      <w:rFonts w:eastAsia="Times New Roman"/>
                      <w:sz w:val="20"/>
                      <w:szCs w:val="20"/>
                      <w:lang w:val="en-GB"/>
                    </w:rPr>
                    <w:t>Fail (No Resit, Retake Required)</w:t>
                  </w:r>
                </w:p>
              </w:tc>
            </w:tr>
          </w:tbl>
          <w:p w14:paraId="6A8EE11D" w14:textId="77777777" w:rsidR="004F0EB2" w:rsidRPr="004F0EB2" w:rsidRDefault="004F0EB2" w:rsidP="0070460C">
            <w:pPr>
              <w:widowControl w:val="0"/>
              <w:spacing w:after="0" w:line="276" w:lineRule="auto"/>
              <w:jc w:val="left"/>
              <w:rPr>
                <w:sz w:val="20"/>
                <w:szCs w:val="20"/>
                <w:lang w:val="en-GB"/>
              </w:rPr>
            </w:pPr>
          </w:p>
          <w:p w14:paraId="2437C475" w14:textId="2097FF63" w:rsidR="0070460C" w:rsidRPr="00BD75E2" w:rsidRDefault="0070460C" w:rsidP="0070460C">
            <w:pPr>
              <w:widowControl w:val="0"/>
              <w:spacing w:after="0" w:line="276" w:lineRule="auto"/>
              <w:jc w:val="left"/>
              <w:rPr>
                <w:sz w:val="20"/>
                <w:szCs w:val="20"/>
              </w:rPr>
            </w:pPr>
          </w:p>
        </w:tc>
      </w:tr>
      <w:tr w:rsidR="003470A6" w14:paraId="22F51514" w14:textId="77777777">
        <w:trPr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50A72" w14:textId="77777777" w:rsidR="003470A6" w:rsidRDefault="0000000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86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EA628" w14:textId="77777777" w:rsidR="003470A6" w:rsidRPr="00370132" w:rsidRDefault="00000000" w:rsidP="00370132">
            <w:pPr>
              <w:widowControl w:val="0"/>
              <w:spacing w:after="0"/>
              <w:rPr>
                <w:b/>
                <w:sz w:val="20"/>
                <w:szCs w:val="20"/>
              </w:rPr>
            </w:pPr>
            <w:r w:rsidRPr="00370132">
              <w:rPr>
                <w:b/>
                <w:sz w:val="20"/>
                <w:szCs w:val="20"/>
              </w:rPr>
              <w:t xml:space="preserve">Learning </w:t>
            </w:r>
            <w:proofErr w:type="spellStart"/>
            <w:r w:rsidRPr="00370132">
              <w:rPr>
                <w:b/>
                <w:sz w:val="20"/>
                <w:szCs w:val="20"/>
              </w:rPr>
              <w:t>outcomes</w:t>
            </w:r>
            <w:proofErr w:type="spellEnd"/>
          </w:p>
          <w:p w14:paraId="1547F8D2" w14:textId="77777777" w:rsidR="00370132" w:rsidRPr="00370132" w:rsidRDefault="00370132" w:rsidP="00370132">
            <w:pPr>
              <w:spacing w:after="0"/>
              <w:rPr>
                <w:b/>
                <w:bCs/>
                <w:sz w:val="20"/>
                <w:szCs w:val="20"/>
                <w:lang w:val="en-GB"/>
              </w:rPr>
            </w:pPr>
            <w:r w:rsidRPr="00370132">
              <w:rPr>
                <w:b/>
                <w:bCs/>
                <w:sz w:val="20"/>
                <w:szCs w:val="20"/>
                <w:lang w:val="en-GB"/>
              </w:rPr>
              <w:t>7.1 Knowledge (Theoretical and/or Factual)</w:t>
            </w:r>
          </w:p>
          <w:p w14:paraId="05214A83" w14:textId="77777777" w:rsidR="00370132" w:rsidRPr="00370132" w:rsidRDefault="00370132" w:rsidP="00370132">
            <w:pPr>
              <w:spacing w:after="0"/>
              <w:rPr>
                <w:sz w:val="20"/>
                <w:szCs w:val="20"/>
                <w:lang w:val="en-GB"/>
              </w:rPr>
            </w:pPr>
            <w:r w:rsidRPr="00370132">
              <w:rPr>
                <w:sz w:val="20"/>
                <w:szCs w:val="20"/>
                <w:lang w:val="en-GB"/>
              </w:rPr>
              <w:t>Upon successful completion of this module, students will:</w:t>
            </w:r>
          </w:p>
          <w:p w14:paraId="69343C3C" w14:textId="77777777" w:rsidR="00370132" w:rsidRPr="00370132" w:rsidRDefault="00370132" w:rsidP="00370132">
            <w:pPr>
              <w:numPr>
                <w:ilvl w:val="0"/>
                <w:numId w:val="11"/>
              </w:numPr>
              <w:spacing w:after="0"/>
              <w:rPr>
                <w:sz w:val="20"/>
                <w:szCs w:val="20"/>
                <w:lang w:val="en-GB"/>
              </w:rPr>
            </w:pPr>
            <w:r w:rsidRPr="00370132">
              <w:rPr>
                <w:sz w:val="20"/>
                <w:szCs w:val="20"/>
                <w:lang w:val="en-GB"/>
              </w:rPr>
              <w:t>Demonstrate an understanding of Programme and Portfolio Management (PPM) principles in regional development.</w:t>
            </w:r>
          </w:p>
          <w:p w14:paraId="13F7AFED" w14:textId="77777777" w:rsidR="00370132" w:rsidRPr="00370132" w:rsidRDefault="00370132" w:rsidP="00370132">
            <w:pPr>
              <w:numPr>
                <w:ilvl w:val="0"/>
                <w:numId w:val="11"/>
              </w:numPr>
              <w:spacing w:after="0"/>
              <w:rPr>
                <w:sz w:val="20"/>
                <w:szCs w:val="20"/>
                <w:lang w:val="en-GB"/>
              </w:rPr>
            </w:pPr>
            <w:r w:rsidRPr="00370132">
              <w:rPr>
                <w:sz w:val="20"/>
                <w:szCs w:val="20"/>
                <w:lang w:val="en-GB"/>
              </w:rPr>
              <w:t>Explain governance models, funding structures, and regulatory frameworks for regional initiatives.</w:t>
            </w:r>
          </w:p>
          <w:p w14:paraId="2024E0AE" w14:textId="77777777" w:rsidR="00370132" w:rsidRPr="00370132" w:rsidRDefault="00370132" w:rsidP="00370132">
            <w:pPr>
              <w:numPr>
                <w:ilvl w:val="0"/>
                <w:numId w:val="11"/>
              </w:numPr>
              <w:spacing w:after="0"/>
              <w:rPr>
                <w:sz w:val="20"/>
                <w:szCs w:val="20"/>
                <w:lang w:val="en-GB"/>
              </w:rPr>
            </w:pPr>
            <w:proofErr w:type="spellStart"/>
            <w:r w:rsidRPr="00370132">
              <w:rPr>
                <w:sz w:val="20"/>
                <w:szCs w:val="20"/>
                <w:lang w:val="en-GB"/>
              </w:rPr>
              <w:t>Analyze</w:t>
            </w:r>
            <w:proofErr w:type="spellEnd"/>
            <w:r w:rsidRPr="00370132">
              <w:rPr>
                <w:sz w:val="20"/>
                <w:szCs w:val="20"/>
                <w:lang w:val="en-GB"/>
              </w:rPr>
              <w:t xml:space="preserve"> risk assessment methodologies for multi-stakeholder regional projects.</w:t>
            </w:r>
          </w:p>
          <w:p w14:paraId="41CC34EC" w14:textId="77777777" w:rsidR="00370132" w:rsidRPr="00370132" w:rsidRDefault="00370132" w:rsidP="00370132">
            <w:pPr>
              <w:numPr>
                <w:ilvl w:val="0"/>
                <w:numId w:val="11"/>
              </w:numPr>
              <w:spacing w:after="0"/>
              <w:rPr>
                <w:sz w:val="20"/>
                <w:szCs w:val="20"/>
                <w:lang w:val="en-GB"/>
              </w:rPr>
            </w:pPr>
            <w:r w:rsidRPr="00370132">
              <w:rPr>
                <w:sz w:val="20"/>
                <w:szCs w:val="20"/>
                <w:lang w:val="en-GB"/>
              </w:rPr>
              <w:t>Understand key sustainability and resilience strategies for regional development projects.</w:t>
            </w:r>
          </w:p>
          <w:p w14:paraId="52172709" w14:textId="77777777" w:rsidR="00370132" w:rsidRPr="00370132" w:rsidRDefault="00370132" w:rsidP="00370132">
            <w:pPr>
              <w:spacing w:after="0"/>
              <w:rPr>
                <w:b/>
                <w:bCs/>
                <w:sz w:val="20"/>
                <w:szCs w:val="20"/>
                <w:lang w:val="en-GB"/>
              </w:rPr>
            </w:pPr>
            <w:r w:rsidRPr="00370132">
              <w:rPr>
                <w:b/>
                <w:bCs/>
                <w:sz w:val="20"/>
                <w:szCs w:val="20"/>
                <w:lang w:val="en-GB"/>
              </w:rPr>
              <w:t>7.2 Skills (Cognitive and Practical)</w:t>
            </w:r>
          </w:p>
          <w:p w14:paraId="5D417449" w14:textId="77777777" w:rsidR="00370132" w:rsidRPr="00370132" w:rsidRDefault="00370132" w:rsidP="00370132">
            <w:pPr>
              <w:spacing w:after="0"/>
              <w:rPr>
                <w:sz w:val="20"/>
                <w:szCs w:val="20"/>
                <w:lang w:val="en-GB"/>
              </w:rPr>
            </w:pPr>
            <w:r w:rsidRPr="00370132">
              <w:rPr>
                <w:sz w:val="20"/>
                <w:szCs w:val="20"/>
                <w:lang w:val="en-GB"/>
              </w:rPr>
              <w:t>Students will develop the ability to:</w:t>
            </w:r>
          </w:p>
          <w:p w14:paraId="33170390" w14:textId="77777777" w:rsidR="00370132" w:rsidRPr="00370132" w:rsidRDefault="00370132" w:rsidP="00370132">
            <w:pPr>
              <w:numPr>
                <w:ilvl w:val="0"/>
                <w:numId w:val="10"/>
              </w:numPr>
              <w:spacing w:after="0"/>
              <w:rPr>
                <w:sz w:val="20"/>
                <w:szCs w:val="20"/>
                <w:lang w:val="en-GB"/>
              </w:rPr>
            </w:pPr>
            <w:r w:rsidRPr="00370132">
              <w:rPr>
                <w:sz w:val="20"/>
                <w:szCs w:val="20"/>
                <w:lang w:val="en-GB"/>
              </w:rPr>
              <w:t>Apply PPM frameworks to regional project planning and execution.</w:t>
            </w:r>
          </w:p>
          <w:p w14:paraId="14F08C7F" w14:textId="77777777" w:rsidR="00370132" w:rsidRPr="00370132" w:rsidRDefault="00370132" w:rsidP="00370132">
            <w:pPr>
              <w:numPr>
                <w:ilvl w:val="0"/>
                <w:numId w:val="10"/>
              </w:numPr>
              <w:spacing w:after="0"/>
              <w:rPr>
                <w:sz w:val="20"/>
                <w:szCs w:val="20"/>
                <w:lang w:val="en-GB"/>
              </w:rPr>
            </w:pPr>
            <w:r w:rsidRPr="00370132">
              <w:rPr>
                <w:sz w:val="20"/>
                <w:szCs w:val="20"/>
                <w:lang w:val="en-GB"/>
              </w:rPr>
              <w:t>Develop stakeholder engagement strategies for multi-sector collaboration.</w:t>
            </w:r>
          </w:p>
          <w:p w14:paraId="6B4AAE2A" w14:textId="77777777" w:rsidR="00370132" w:rsidRPr="00370132" w:rsidRDefault="00370132" w:rsidP="00370132">
            <w:pPr>
              <w:numPr>
                <w:ilvl w:val="0"/>
                <w:numId w:val="10"/>
              </w:numPr>
              <w:spacing w:after="0"/>
              <w:rPr>
                <w:sz w:val="20"/>
                <w:szCs w:val="20"/>
                <w:lang w:val="en-GB"/>
              </w:rPr>
            </w:pPr>
            <w:r w:rsidRPr="00370132">
              <w:rPr>
                <w:sz w:val="20"/>
                <w:szCs w:val="20"/>
                <w:lang w:val="en-GB"/>
              </w:rPr>
              <w:t>Use financial planning and risk management techniques to support decision-making.</w:t>
            </w:r>
          </w:p>
          <w:p w14:paraId="2B086CC8" w14:textId="77777777" w:rsidR="00370132" w:rsidRPr="00370132" w:rsidRDefault="00370132" w:rsidP="00370132">
            <w:pPr>
              <w:numPr>
                <w:ilvl w:val="0"/>
                <w:numId w:val="10"/>
              </w:numPr>
              <w:spacing w:after="0"/>
              <w:rPr>
                <w:sz w:val="20"/>
                <w:szCs w:val="20"/>
                <w:lang w:val="en-GB"/>
              </w:rPr>
            </w:pPr>
            <w:r w:rsidRPr="00370132">
              <w:rPr>
                <w:sz w:val="20"/>
                <w:szCs w:val="20"/>
                <w:lang w:val="en-GB"/>
              </w:rPr>
              <w:t>Design and implement project evaluation frameworks for regional programmes.</w:t>
            </w:r>
          </w:p>
          <w:p w14:paraId="7D42014E" w14:textId="77777777" w:rsidR="00370132" w:rsidRPr="00370132" w:rsidRDefault="00370132" w:rsidP="00370132">
            <w:pPr>
              <w:spacing w:after="0"/>
              <w:rPr>
                <w:b/>
                <w:bCs/>
                <w:sz w:val="20"/>
                <w:szCs w:val="20"/>
                <w:lang w:val="en-GB"/>
              </w:rPr>
            </w:pPr>
            <w:r w:rsidRPr="00370132">
              <w:rPr>
                <w:b/>
                <w:bCs/>
                <w:sz w:val="20"/>
                <w:szCs w:val="20"/>
                <w:lang w:val="en-GB"/>
              </w:rPr>
              <w:t>7.3 Competence (Autonomy and Responsibility)</w:t>
            </w:r>
          </w:p>
          <w:p w14:paraId="68390691" w14:textId="77777777" w:rsidR="00370132" w:rsidRPr="00370132" w:rsidRDefault="00370132" w:rsidP="00370132">
            <w:pPr>
              <w:spacing w:after="0"/>
              <w:rPr>
                <w:sz w:val="20"/>
                <w:szCs w:val="20"/>
                <w:lang w:val="en-GB"/>
              </w:rPr>
            </w:pPr>
            <w:r w:rsidRPr="00370132">
              <w:rPr>
                <w:sz w:val="20"/>
                <w:szCs w:val="20"/>
                <w:lang w:val="en-GB"/>
              </w:rPr>
              <w:t>By the end of the module, students will be able to:</w:t>
            </w:r>
          </w:p>
          <w:p w14:paraId="6EBDE4FB" w14:textId="77777777" w:rsidR="00370132" w:rsidRPr="00370132" w:rsidRDefault="00370132" w:rsidP="00370132">
            <w:pPr>
              <w:numPr>
                <w:ilvl w:val="0"/>
                <w:numId w:val="9"/>
              </w:numPr>
              <w:spacing w:after="0"/>
              <w:rPr>
                <w:sz w:val="20"/>
                <w:szCs w:val="20"/>
                <w:lang w:val="en-GB"/>
              </w:rPr>
            </w:pPr>
            <w:r w:rsidRPr="00370132">
              <w:rPr>
                <w:sz w:val="20"/>
                <w:szCs w:val="20"/>
                <w:lang w:val="en-GB"/>
              </w:rPr>
              <w:t>Independently manage and lead regional development projects.</w:t>
            </w:r>
          </w:p>
          <w:p w14:paraId="06065824" w14:textId="77777777" w:rsidR="00370132" w:rsidRPr="00370132" w:rsidRDefault="00370132" w:rsidP="00370132">
            <w:pPr>
              <w:numPr>
                <w:ilvl w:val="0"/>
                <w:numId w:val="9"/>
              </w:numPr>
              <w:spacing w:after="0"/>
              <w:rPr>
                <w:sz w:val="20"/>
                <w:szCs w:val="20"/>
                <w:lang w:val="en-GB"/>
              </w:rPr>
            </w:pPr>
            <w:r w:rsidRPr="00370132">
              <w:rPr>
                <w:sz w:val="20"/>
                <w:szCs w:val="20"/>
                <w:lang w:val="en-GB"/>
              </w:rPr>
              <w:t>Demonstrate autonomy in applying governance models to complex projects.</w:t>
            </w:r>
          </w:p>
          <w:p w14:paraId="3C70005F" w14:textId="77777777" w:rsidR="00370132" w:rsidRPr="00370132" w:rsidRDefault="00370132" w:rsidP="00370132">
            <w:pPr>
              <w:numPr>
                <w:ilvl w:val="0"/>
                <w:numId w:val="9"/>
              </w:numPr>
              <w:spacing w:after="0"/>
              <w:rPr>
                <w:sz w:val="20"/>
                <w:szCs w:val="20"/>
                <w:lang w:val="en-GB"/>
              </w:rPr>
            </w:pPr>
            <w:r w:rsidRPr="00370132">
              <w:rPr>
                <w:sz w:val="20"/>
                <w:szCs w:val="20"/>
                <w:lang w:val="en-GB"/>
              </w:rPr>
              <w:t>Take responsibility for strategic coordination of multi-sector regional initiatives.</w:t>
            </w:r>
          </w:p>
          <w:p w14:paraId="2FCB0532" w14:textId="77777777" w:rsidR="00370132" w:rsidRPr="00370132" w:rsidRDefault="00370132" w:rsidP="00370132">
            <w:pPr>
              <w:numPr>
                <w:ilvl w:val="0"/>
                <w:numId w:val="9"/>
              </w:numPr>
              <w:spacing w:after="0"/>
              <w:rPr>
                <w:sz w:val="20"/>
                <w:szCs w:val="20"/>
                <w:lang w:val="en-GB"/>
              </w:rPr>
            </w:pPr>
            <w:r w:rsidRPr="00370132">
              <w:rPr>
                <w:sz w:val="20"/>
                <w:szCs w:val="20"/>
                <w:lang w:val="en-GB"/>
              </w:rPr>
              <w:t>Integrate digital tools, sustainability principles, and impact assessment into project planning.</w:t>
            </w:r>
          </w:p>
          <w:p w14:paraId="43A4C3B7" w14:textId="0FE32DF0" w:rsidR="00BD75E2" w:rsidRPr="00370132" w:rsidRDefault="00BD75E2" w:rsidP="00370132">
            <w:pPr>
              <w:spacing w:after="0"/>
              <w:rPr>
                <w:sz w:val="20"/>
                <w:szCs w:val="20"/>
                <w:lang w:val="en-GB"/>
              </w:rPr>
            </w:pPr>
          </w:p>
        </w:tc>
      </w:tr>
      <w:tr w:rsidR="003470A6" w14:paraId="7360B20D" w14:textId="77777777">
        <w:trPr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672B0" w14:textId="77777777" w:rsidR="003470A6" w:rsidRDefault="0000000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86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A9C48" w14:textId="77777777" w:rsidR="003470A6" w:rsidRDefault="00000000">
            <w:pPr>
              <w:widowControl w:val="0"/>
              <w:spacing w:after="0"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Teaching and </w:t>
            </w:r>
            <w:proofErr w:type="spellStart"/>
            <w:r>
              <w:rPr>
                <w:b/>
                <w:sz w:val="20"/>
                <w:szCs w:val="20"/>
              </w:rPr>
              <w:t>training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methods</w:t>
            </w:r>
            <w:proofErr w:type="spellEnd"/>
          </w:p>
          <w:p w14:paraId="071B5BBE" w14:textId="77777777" w:rsidR="00370132" w:rsidRPr="00370132" w:rsidRDefault="00370132" w:rsidP="00370132">
            <w:pPr>
              <w:pStyle w:val="ListParagraph"/>
              <w:widowControl w:val="0"/>
              <w:numPr>
                <w:ilvl w:val="0"/>
                <w:numId w:val="8"/>
              </w:numPr>
              <w:spacing w:after="0" w:line="360" w:lineRule="auto"/>
              <w:rPr>
                <w:bCs/>
                <w:sz w:val="20"/>
                <w:szCs w:val="20"/>
              </w:rPr>
            </w:pPr>
            <w:r w:rsidRPr="00370132">
              <w:rPr>
                <w:bCs/>
                <w:sz w:val="20"/>
                <w:szCs w:val="20"/>
              </w:rPr>
              <w:lastRenderedPageBreak/>
              <w:t>Lectures &amp; Interactive Seminars</w:t>
            </w:r>
          </w:p>
          <w:p w14:paraId="3F9B320F" w14:textId="77777777" w:rsidR="00370132" w:rsidRPr="00370132" w:rsidRDefault="00370132" w:rsidP="00370132">
            <w:pPr>
              <w:pStyle w:val="ListParagraph"/>
              <w:widowControl w:val="0"/>
              <w:numPr>
                <w:ilvl w:val="0"/>
                <w:numId w:val="8"/>
              </w:numPr>
              <w:spacing w:after="0" w:line="360" w:lineRule="auto"/>
              <w:rPr>
                <w:bCs/>
                <w:sz w:val="20"/>
                <w:szCs w:val="20"/>
              </w:rPr>
            </w:pPr>
            <w:r w:rsidRPr="00370132">
              <w:rPr>
                <w:bCs/>
                <w:sz w:val="20"/>
                <w:szCs w:val="20"/>
              </w:rPr>
              <w:t>Case Study Analysis &amp; Problem-</w:t>
            </w:r>
            <w:proofErr w:type="spellStart"/>
            <w:r w:rsidRPr="00370132">
              <w:rPr>
                <w:bCs/>
                <w:sz w:val="20"/>
                <w:szCs w:val="20"/>
              </w:rPr>
              <w:t>Based</w:t>
            </w:r>
            <w:proofErr w:type="spellEnd"/>
            <w:r w:rsidRPr="00370132">
              <w:rPr>
                <w:bCs/>
                <w:sz w:val="20"/>
                <w:szCs w:val="20"/>
              </w:rPr>
              <w:t xml:space="preserve"> Learning</w:t>
            </w:r>
          </w:p>
          <w:p w14:paraId="3FDC3F78" w14:textId="77777777" w:rsidR="00370132" w:rsidRPr="00370132" w:rsidRDefault="00370132" w:rsidP="00370132">
            <w:pPr>
              <w:pStyle w:val="ListParagraph"/>
              <w:widowControl w:val="0"/>
              <w:numPr>
                <w:ilvl w:val="0"/>
                <w:numId w:val="8"/>
              </w:numPr>
              <w:spacing w:after="0" w:line="360" w:lineRule="auto"/>
              <w:rPr>
                <w:bCs/>
                <w:sz w:val="20"/>
                <w:szCs w:val="20"/>
              </w:rPr>
            </w:pPr>
            <w:r w:rsidRPr="00370132">
              <w:rPr>
                <w:bCs/>
                <w:sz w:val="20"/>
                <w:szCs w:val="20"/>
              </w:rPr>
              <w:t xml:space="preserve">Group Project Work &amp; </w:t>
            </w:r>
            <w:proofErr w:type="spellStart"/>
            <w:r w:rsidRPr="00370132">
              <w:rPr>
                <w:bCs/>
                <w:sz w:val="20"/>
                <w:szCs w:val="20"/>
              </w:rPr>
              <w:t>Simulations</w:t>
            </w:r>
            <w:proofErr w:type="spellEnd"/>
          </w:p>
          <w:p w14:paraId="39E10457" w14:textId="7F7BA626" w:rsidR="00370132" w:rsidRPr="00370132" w:rsidRDefault="00370132" w:rsidP="00370132">
            <w:pPr>
              <w:pStyle w:val="ListParagraph"/>
              <w:widowControl w:val="0"/>
              <w:numPr>
                <w:ilvl w:val="0"/>
                <w:numId w:val="8"/>
              </w:numPr>
              <w:spacing w:after="0" w:line="360" w:lineRule="auto"/>
              <w:rPr>
                <w:bCs/>
                <w:sz w:val="20"/>
                <w:szCs w:val="20"/>
              </w:rPr>
            </w:pPr>
            <w:r w:rsidRPr="00370132">
              <w:rPr>
                <w:bCs/>
                <w:sz w:val="20"/>
                <w:szCs w:val="20"/>
              </w:rPr>
              <w:t xml:space="preserve">Guest Lectures </w:t>
            </w:r>
            <w:proofErr w:type="spellStart"/>
            <w:r w:rsidRPr="00370132">
              <w:rPr>
                <w:bCs/>
                <w:sz w:val="20"/>
                <w:szCs w:val="20"/>
              </w:rPr>
              <w:t>from</w:t>
            </w:r>
            <w:proofErr w:type="spellEnd"/>
            <w:r w:rsidRPr="0037013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370132">
              <w:rPr>
                <w:bCs/>
                <w:sz w:val="20"/>
                <w:szCs w:val="20"/>
              </w:rPr>
              <w:t>Experts</w:t>
            </w:r>
            <w:proofErr w:type="spellEnd"/>
            <w:r w:rsidRPr="00370132">
              <w:rPr>
                <w:bCs/>
                <w:sz w:val="20"/>
                <w:szCs w:val="20"/>
              </w:rPr>
              <w:t xml:space="preserve"> in Regional Development</w:t>
            </w:r>
          </w:p>
          <w:p w14:paraId="1BAA67E6" w14:textId="77777777" w:rsidR="003470A6" w:rsidRDefault="003470A6">
            <w:pPr>
              <w:widowControl w:val="0"/>
              <w:spacing w:after="0" w:line="276" w:lineRule="auto"/>
              <w:jc w:val="left"/>
              <w:rPr>
                <w:sz w:val="20"/>
                <w:szCs w:val="20"/>
              </w:rPr>
            </w:pPr>
          </w:p>
        </w:tc>
      </w:tr>
      <w:tr w:rsidR="003470A6" w14:paraId="42214695" w14:textId="77777777">
        <w:trPr>
          <w:trHeight w:val="3388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03929" w14:textId="77777777" w:rsidR="003470A6" w:rsidRDefault="0000000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10</w:t>
            </w:r>
          </w:p>
        </w:tc>
        <w:tc>
          <w:tcPr>
            <w:tcW w:w="86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DBC93" w14:textId="77777777" w:rsidR="003470A6" w:rsidRDefault="0000000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References</w:t>
            </w:r>
          </w:p>
          <w:p w14:paraId="2B66F649" w14:textId="77777777" w:rsidR="00370132" w:rsidRPr="00370132" w:rsidRDefault="00370132" w:rsidP="00370132">
            <w:pPr>
              <w:widowControl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370132">
              <w:rPr>
                <w:b/>
                <w:bCs/>
                <w:sz w:val="20"/>
                <w:szCs w:val="20"/>
              </w:rPr>
              <w:t>Core Readings</w:t>
            </w:r>
          </w:p>
          <w:p w14:paraId="28031973" w14:textId="77777777" w:rsidR="00370132" w:rsidRPr="00370132" w:rsidRDefault="00370132" w:rsidP="00370132">
            <w:pPr>
              <w:pStyle w:val="ListParagraph"/>
              <w:widowControl w:val="0"/>
              <w:numPr>
                <w:ilvl w:val="0"/>
                <w:numId w:val="12"/>
              </w:numPr>
              <w:spacing w:line="276" w:lineRule="auto"/>
              <w:rPr>
                <w:sz w:val="20"/>
                <w:szCs w:val="20"/>
              </w:rPr>
            </w:pPr>
            <w:r w:rsidRPr="00370132">
              <w:rPr>
                <w:sz w:val="20"/>
                <w:szCs w:val="20"/>
              </w:rPr>
              <w:t xml:space="preserve">Project Management Institute (PMI). (2021). The Standard </w:t>
            </w:r>
            <w:proofErr w:type="spellStart"/>
            <w:r w:rsidRPr="00370132">
              <w:rPr>
                <w:sz w:val="20"/>
                <w:szCs w:val="20"/>
              </w:rPr>
              <w:t>for</w:t>
            </w:r>
            <w:proofErr w:type="spellEnd"/>
            <w:r w:rsidRPr="00370132">
              <w:rPr>
                <w:sz w:val="20"/>
                <w:szCs w:val="20"/>
              </w:rPr>
              <w:t xml:space="preserve"> Portfolio Management (4th </w:t>
            </w:r>
            <w:proofErr w:type="spellStart"/>
            <w:r w:rsidRPr="00370132">
              <w:rPr>
                <w:sz w:val="20"/>
                <w:szCs w:val="20"/>
              </w:rPr>
              <w:t>ed</w:t>
            </w:r>
            <w:proofErr w:type="spellEnd"/>
            <w:r w:rsidRPr="00370132">
              <w:rPr>
                <w:sz w:val="20"/>
                <w:szCs w:val="20"/>
              </w:rPr>
              <w:t>.). PMI.</w:t>
            </w:r>
          </w:p>
          <w:p w14:paraId="19F41CD5" w14:textId="77777777" w:rsidR="00370132" w:rsidRPr="00370132" w:rsidRDefault="00370132" w:rsidP="00370132">
            <w:pPr>
              <w:pStyle w:val="ListParagraph"/>
              <w:widowControl w:val="0"/>
              <w:numPr>
                <w:ilvl w:val="0"/>
                <w:numId w:val="12"/>
              </w:numPr>
              <w:spacing w:line="276" w:lineRule="auto"/>
              <w:rPr>
                <w:sz w:val="20"/>
                <w:szCs w:val="20"/>
              </w:rPr>
            </w:pPr>
            <w:r w:rsidRPr="00370132">
              <w:rPr>
                <w:sz w:val="20"/>
                <w:szCs w:val="20"/>
              </w:rPr>
              <w:t xml:space="preserve">European </w:t>
            </w:r>
            <w:proofErr w:type="spellStart"/>
            <w:r w:rsidRPr="00370132">
              <w:rPr>
                <w:sz w:val="20"/>
                <w:szCs w:val="20"/>
              </w:rPr>
              <w:t>Commission</w:t>
            </w:r>
            <w:proofErr w:type="spellEnd"/>
            <w:r w:rsidRPr="00370132">
              <w:rPr>
                <w:sz w:val="20"/>
                <w:szCs w:val="20"/>
              </w:rPr>
              <w:t xml:space="preserve">. (2020). </w:t>
            </w:r>
            <w:proofErr w:type="spellStart"/>
            <w:r w:rsidRPr="00370132">
              <w:rPr>
                <w:sz w:val="20"/>
                <w:szCs w:val="20"/>
              </w:rPr>
              <w:t>Cohesion</w:t>
            </w:r>
            <w:proofErr w:type="spellEnd"/>
            <w:r w:rsidRPr="00370132">
              <w:rPr>
                <w:sz w:val="20"/>
                <w:szCs w:val="20"/>
              </w:rPr>
              <w:t xml:space="preserve"> Policy and Regional Development. Publications Office </w:t>
            </w:r>
            <w:proofErr w:type="spellStart"/>
            <w:r w:rsidRPr="00370132">
              <w:rPr>
                <w:sz w:val="20"/>
                <w:szCs w:val="20"/>
              </w:rPr>
              <w:t>of</w:t>
            </w:r>
            <w:proofErr w:type="spellEnd"/>
            <w:r w:rsidRPr="00370132">
              <w:rPr>
                <w:sz w:val="20"/>
                <w:szCs w:val="20"/>
              </w:rPr>
              <w:t xml:space="preserve"> </w:t>
            </w:r>
            <w:proofErr w:type="spellStart"/>
            <w:r w:rsidRPr="00370132">
              <w:rPr>
                <w:sz w:val="20"/>
                <w:szCs w:val="20"/>
              </w:rPr>
              <w:t>the</w:t>
            </w:r>
            <w:proofErr w:type="spellEnd"/>
            <w:r w:rsidRPr="00370132">
              <w:rPr>
                <w:sz w:val="20"/>
                <w:szCs w:val="20"/>
              </w:rPr>
              <w:t xml:space="preserve"> EU.</w:t>
            </w:r>
          </w:p>
          <w:p w14:paraId="4502D8DE" w14:textId="77777777" w:rsidR="00370132" w:rsidRPr="00370132" w:rsidRDefault="00370132" w:rsidP="00370132">
            <w:pPr>
              <w:pStyle w:val="ListParagraph"/>
              <w:widowControl w:val="0"/>
              <w:numPr>
                <w:ilvl w:val="0"/>
                <w:numId w:val="12"/>
              </w:numPr>
              <w:spacing w:line="276" w:lineRule="auto"/>
              <w:rPr>
                <w:sz w:val="20"/>
                <w:szCs w:val="20"/>
              </w:rPr>
            </w:pPr>
            <w:r w:rsidRPr="00370132">
              <w:rPr>
                <w:sz w:val="20"/>
                <w:szCs w:val="20"/>
              </w:rPr>
              <w:t xml:space="preserve">OECD. (2019). </w:t>
            </w:r>
            <w:proofErr w:type="spellStart"/>
            <w:r w:rsidRPr="00370132">
              <w:rPr>
                <w:sz w:val="20"/>
                <w:szCs w:val="20"/>
              </w:rPr>
              <w:t>Principles</w:t>
            </w:r>
            <w:proofErr w:type="spellEnd"/>
            <w:r w:rsidRPr="00370132">
              <w:rPr>
                <w:sz w:val="20"/>
                <w:szCs w:val="20"/>
              </w:rPr>
              <w:t xml:space="preserve"> </w:t>
            </w:r>
            <w:proofErr w:type="spellStart"/>
            <w:r w:rsidRPr="00370132">
              <w:rPr>
                <w:sz w:val="20"/>
                <w:szCs w:val="20"/>
              </w:rPr>
              <w:t>of</w:t>
            </w:r>
            <w:proofErr w:type="spellEnd"/>
            <w:r w:rsidRPr="00370132">
              <w:rPr>
                <w:sz w:val="20"/>
                <w:szCs w:val="20"/>
              </w:rPr>
              <w:t xml:space="preserve"> Regional Policy </w:t>
            </w:r>
            <w:proofErr w:type="spellStart"/>
            <w:r w:rsidRPr="00370132">
              <w:rPr>
                <w:sz w:val="20"/>
                <w:szCs w:val="20"/>
              </w:rPr>
              <w:t>for</w:t>
            </w:r>
            <w:proofErr w:type="spellEnd"/>
            <w:r w:rsidRPr="00370132">
              <w:rPr>
                <w:sz w:val="20"/>
                <w:szCs w:val="20"/>
              </w:rPr>
              <w:t xml:space="preserve"> </w:t>
            </w:r>
            <w:proofErr w:type="spellStart"/>
            <w:r w:rsidRPr="00370132">
              <w:rPr>
                <w:sz w:val="20"/>
                <w:szCs w:val="20"/>
              </w:rPr>
              <w:t>Sustainable</w:t>
            </w:r>
            <w:proofErr w:type="spellEnd"/>
            <w:r w:rsidRPr="00370132">
              <w:rPr>
                <w:sz w:val="20"/>
                <w:szCs w:val="20"/>
              </w:rPr>
              <w:t xml:space="preserve"> Development. OECD Publishing.</w:t>
            </w:r>
          </w:p>
          <w:p w14:paraId="19468D0D" w14:textId="77777777" w:rsidR="00370132" w:rsidRPr="00370132" w:rsidRDefault="00370132" w:rsidP="00370132">
            <w:pPr>
              <w:widowControl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370132">
              <w:rPr>
                <w:b/>
                <w:bCs/>
                <w:sz w:val="20"/>
                <w:szCs w:val="20"/>
              </w:rPr>
              <w:t>Additional Readings</w:t>
            </w:r>
          </w:p>
          <w:p w14:paraId="429DDB61" w14:textId="77777777" w:rsidR="00370132" w:rsidRPr="00370132" w:rsidRDefault="00370132" w:rsidP="00370132">
            <w:pPr>
              <w:pStyle w:val="ListParagraph"/>
              <w:widowControl w:val="0"/>
              <w:numPr>
                <w:ilvl w:val="0"/>
                <w:numId w:val="13"/>
              </w:numPr>
              <w:spacing w:line="276" w:lineRule="auto"/>
              <w:rPr>
                <w:sz w:val="20"/>
                <w:szCs w:val="20"/>
              </w:rPr>
            </w:pPr>
            <w:proofErr w:type="spellStart"/>
            <w:r w:rsidRPr="00370132">
              <w:rPr>
                <w:sz w:val="20"/>
                <w:szCs w:val="20"/>
              </w:rPr>
              <w:t>Dvir</w:t>
            </w:r>
            <w:proofErr w:type="spellEnd"/>
            <w:r w:rsidRPr="00370132">
              <w:rPr>
                <w:sz w:val="20"/>
                <w:szCs w:val="20"/>
              </w:rPr>
              <w:t xml:space="preserve">, D., </w:t>
            </w:r>
            <w:proofErr w:type="spellStart"/>
            <w:r w:rsidRPr="00370132">
              <w:rPr>
                <w:sz w:val="20"/>
                <w:szCs w:val="20"/>
              </w:rPr>
              <w:t>Raz</w:t>
            </w:r>
            <w:proofErr w:type="spellEnd"/>
            <w:r w:rsidRPr="00370132">
              <w:rPr>
                <w:sz w:val="20"/>
                <w:szCs w:val="20"/>
              </w:rPr>
              <w:t xml:space="preserve">, T., &amp; </w:t>
            </w:r>
            <w:proofErr w:type="spellStart"/>
            <w:r w:rsidRPr="00370132">
              <w:rPr>
                <w:sz w:val="20"/>
                <w:szCs w:val="20"/>
              </w:rPr>
              <w:t>Shenhar</w:t>
            </w:r>
            <w:proofErr w:type="spellEnd"/>
            <w:r w:rsidRPr="00370132">
              <w:rPr>
                <w:sz w:val="20"/>
                <w:szCs w:val="20"/>
              </w:rPr>
              <w:t xml:space="preserve">, A. J. (2003). An </w:t>
            </w:r>
            <w:proofErr w:type="spellStart"/>
            <w:r w:rsidRPr="00370132">
              <w:rPr>
                <w:sz w:val="20"/>
                <w:szCs w:val="20"/>
              </w:rPr>
              <w:t>empirical</w:t>
            </w:r>
            <w:proofErr w:type="spellEnd"/>
            <w:r w:rsidRPr="00370132">
              <w:rPr>
                <w:sz w:val="20"/>
                <w:szCs w:val="20"/>
              </w:rPr>
              <w:t xml:space="preserve"> </w:t>
            </w:r>
            <w:proofErr w:type="spellStart"/>
            <w:r w:rsidRPr="00370132">
              <w:rPr>
                <w:sz w:val="20"/>
                <w:szCs w:val="20"/>
              </w:rPr>
              <w:t>analysis</w:t>
            </w:r>
            <w:proofErr w:type="spellEnd"/>
            <w:r w:rsidRPr="00370132">
              <w:rPr>
                <w:sz w:val="20"/>
                <w:szCs w:val="20"/>
              </w:rPr>
              <w:t xml:space="preserve"> </w:t>
            </w:r>
            <w:proofErr w:type="spellStart"/>
            <w:r w:rsidRPr="00370132">
              <w:rPr>
                <w:sz w:val="20"/>
                <w:szCs w:val="20"/>
              </w:rPr>
              <w:t>of</w:t>
            </w:r>
            <w:proofErr w:type="spellEnd"/>
            <w:r w:rsidRPr="00370132">
              <w:rPr>
                <w:sz w:val="20"/>
                <w:szCs w:val="20"/>
              </w:rPr>
              <w:t xml:space="preserve"> </w:t>
            </w:r>
            <w:proofErr w:type="spellStart"/>
            <w:r w:rsidRPr="00370132">
              <w:rPr>
                <w:sz w:val="20"/>
                <w:szCs w:val="20"/>
              </w:rPr>
              <w:t>the</w:t>
            </w:r>
            <w:proofErr w:type="spellEnd"/>
            <w:r w:rsidRPr="00370132">
              <w:rPr>
                <w:sz w:val="20"/>
                <w:szCs w:val="20"/>
              </w:rPr>
              <w:t xml:space="preserve"> </w:t>
            </w:r>
            <w:proofErr w:type="spellStart"/>
            <w:r w:rsidRPr="00370132">
              <w:rPr>
                <w:sz w:val="20"/>
                <w:szCs w:val="20"/>
              </w:rPr>
              <w:t>relationship</w:t>
            </w:r>
            <w:proofErr w:type="spellEnd"/>
            <w:r w:rsidRPr="00370132">
              <w:rPr>
                <w:sz w:val="20"/>
                <w:szCs w:val="20"/>
              </w:rPr>
              <w:t xml:space="preserve"> </w:t>
            </w:r>
            <w:proofErr w:type="spellStart"/>
            <w:r w:rsidRPr="00370132">
              <w:rPr>
                <w:sz w:val="20"/>
                <w:szCs w:val="20"/>
              </w:rPr>
              <w:t>between</w:t>
            </w:r>
            <w:proofErr w:type="spellEnd"/>
            <w:r w:rsidRPr="00370132">
              <w:rPr>
                <w:sz w:val="20"/>
                <w:szCs w:val="20"/>
              </w:rPr>
              <w:t xml:space="preserve"> </w:t>
            </w:r>
            <w:proofErr w:type="spellStart"/>
            <w:r w:rsidRPr="00370132">
              <w:rPr>
                <w:sz w:val="20"/>
                <w:szCs w:val="20"/>
              </w:rPr>
              <w:t>project</w:t>
            </w:r>
            <w:proofErr w:type="spellEnd"/>
            <w:r w:rsidRPr="00370132">
              <w:rPr>
                <w:sz w:val="20"/>
                <w:szCs w:val="20"/>
              </w:rPr>
              <w:t xml:space="preserve"> </w:t>
            </w:r>
            <w:proofErr w:type="spellStart"/>
            <w:r w:rsidRPr="00370132">
              <w:rPr>
                <w:sz w:val="20"/>
                <w:szCs w:val="20"/>
              </w:rPr>
              <w:t>planning</w:t>
            </w:r>
            <w:proofErr w:type="spellEnd"/>
            <w:r w:rsidRPr="00370132">
              <w:rPr>
                <w:sz w:val="20"/>
                <w:szCs w:val="20"/>
              </w:rPr>
              <w:t xml:space="preserve"> and </w:t>
            </w:r>
            <w:proofErr w:type="spellStart"/>
            <w:r w:rsidRPr="00370132">
              <w:rPr>
                <w:sz w:val="20"/>
                <w:szCs w:val="20"/>
              </w:rPr>
              <w:t>project</w:t>
            </w:r>
            <w:proofErr w:type="spellEnd"/>
            <w:r w:rsidRPr="00370132">
              <w:rPr>
                <w:sz w:val="20"/>
                <w:szCs w:val="20"/>
              </w:rPr>
              <w:t xml:space="preserve"> </w:t>
            </w:r>
            <w:proofErr w:type="spellStart"/>
            <w:r w:rsidRPr="00370132">
              <w:rPr>
                <w:sz w:val="20"/>
                <w:szCs w:val="20"/>
              </w:rPr>
              <w:t>success</w:t>
            </w:r>
            <w:proofErr w:type="spellEnd"/>
            <w:r w:rsidRPr="00370132">
              <w:rPr>
                <w:sz w:val="20"/>
                <w:szCs w:val="20"/>
              </w:rPr>
              <w:t xml:space="preserve"> in </w:t>
            </w:r>
            <w:proofErr w:type="spellStart"/>
            <w:r w:rsidRPr="00370132">
              <w:rPr>
                <w:sz w:val="20"/>
                <w:szCs w:val="20"/>
              </w:rPr>
              <w:t>high-tech</w:t>
            </w:r>
            <w:proofErr w:type="spellEnd"/>
            <w:r w:rsidRPr="00370132">
              <w:rPr>
                <w:sz w:val="20"/>
                <w:szCs w:val="20"/>
              </w:rPr>
              <w:t xml:space="preserve"> </w:t>
            </w:r>
            <w:proofErr w:type="spellStart"/>
            <w:r w:rsidRPr="00370132">
              <w:rPr>
                <w:sz w:val="20"/>
                <w:szCs w:val="20"/>
              </w:rPr>
              <w:t>industries</w:t>
            </w:r>
            <w:proofErr w:type="spellEnd"/>
            <w:r w:rsidRPr="00370132">
              <w:rPr>
                <w:sz w:val="20"/>
                <w:szCs w:val="20"/>
              </w:rPr>
              <w:t>. Project Management Journal, 34(4), 101-112.</w:t>
            </w:r>
          </w:p>
          <w:p w14:paraId="3CF5DFCC" w14:textId="77777777" w:rsidR="00370132" w:rsidRPr="00370132" w:rsidRDefault="00370132" w:rsidP="00370132">
            <w:pPr>
              <w:pStyle w:val="ListParagraph"/>
              <w:widowControl w:val="0"/>
              <w:numPr>
                <w:ilvl w:val="0"/>
                <w:numId w:val="13"/>
              </w:numPr>
              <w:spacing w:line="276" w:lineRule="auto"/>
              <w:rPr>
                <w:sz w:val="20"/>
                <w:szCs w:val="20"/>
              </w:rPr>
            </w:pPr>
            <w:proofErr w:type="spellStart"/>
            <w:r w:rsidRPr="00370132">
              <w:rPr>
                <w:sz w:val="20"/>
                <w:szCs w:val="20"/>
              </w:rPr>
              <w:t>Kerzner</w:t>
            </w:r>
            <w:proofErr w:type="spellEnd"/>
            <w:r w:rsidRPr="00370132">
              <w:rPr>
                <w:sz w:val="20"/>
                <w:szCs w:val="20"/>
              </w:rPr>
              <w:t xml:space="preserve">, H. (2017). Project Management: A Systems Approach </w:t>
            </w:r>
            <w:proofErr w:type="spellStart"/>
            <w:r w:rsidRPr="00370132">
              <w:rPr>
                <w:sz w:val="20"/>
                <w:szCs w:val="20"/>
              </w:rPr>
              <w:t>to</w:t>
            </w:r>
            <w:proofErr w:type="spellEnd"/>
            <w:r w:rsidRPr="00370132">
              <w:rPr>
                <w:sz w:val="20"/>
                <w:szCs w:val="20"/>
              </w:rPr>
              <w:t xml:space="preserve"> </w:t>
            </w:r>
            <w:proofErr w:type="spellStart"/>
            <w:r w:rsidRPr="00370132">
              <w:rPr>
                <w:sz w:val="20"/>
                <w:szCs w:val="20"/>
              </w:rPr>
              <w:t>Planning</w:t>
            </w:r>
            <w:proofErr w:type="spellEnd"/>
            <w:r w:rsidRPr="00370132">
              <w:rPr>
                <w:sz w:val="20"/>
                <w:szCs w:val="20"/>
              </w:rPr>
              <w:t>, Scheduling, and Controlling. Wiley.</w:t>
            </w:r>
          </w:p>
          <w:p w14:paraId="1AA835B6" w14:textId="3F975A7E" w:rsidR="003470A6" w:rsidRPr="00370132" w:rsidRDefault="00370132" w:rsidP="00370132">
            <w:pPr>
              <w:pStyle w:val="ListParagraph"/>
              <w:widowControl w:val="0"/>
              <w:numPr>
                <w:ilvl w:val="0"/>
                <w:numId w:val="13"/>
              </w:numPr>
              <w:spacing w:line="276" w:lineRule="auto"/>
              <w:rPr>
                <w:sz w:val="20"/>
                <w:szCs w:val="20"/>
              </w:rPr>
            </w:pPr>
            <w:r w:rsidRPr="00370132">
              <w:rPr>
                <w:sz w:val="20"/>
                <w:szCs w:val="20"/>
              </w:rPr>
              <w:t xml:space="preserve">Turner, J. R. (2016). Gower Handbook </w:t>
            </w:r>
            <w:proofErr w:type="spellStart"/>
            <w:r w:rsidRPr="00370132">
              <w:rPr>
                <w:sz w:val="20"/>
                <w:szCs w:val="20"/>
              </w:rPr>
              <w:t>of</w:t>
            </w:r>
            <w:proofErr w:type="spellEnd"/>
            <w:r w:rsidRPr="00370132">
              <w:rPr>
                <w:sz w:val="20"/>
                <w:szCs w:val="20"/>
              </w:rPr>
              <w:t xml:space="preserve"> Project Management. Routledge.</w:t>
            </w:r>
          </w:p>
        </w:tc>
      </w:tr>
    </w:tbl>
    <w:p w14:paraId="119D9634" w14:textId="77777777" w:rsidR="003470A6" w:rsidRDefault="003470A6"/>
    <w:sectPr w:rsidR="003470A6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  <w:embedRegular r:id="rId1" w:fontKey="{B6F70B7F-EE8F-438A-8A99-0F7E16CEC21A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2" w:fontKey="{C4F3CEF3-A3CF-438B-BAF0-4A70F9F47EC4}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3" w:fontKey="{FDCE8ED6-4A45-47A7-BDCB-75821568025A}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B30ED"/>
    <w:multiLevelType w:val="multilevel"/>
    <w:tmpl w:val="7BEEE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952139"/>
    <w:multiLevelType w:val="multilevel"/>
    <w:tmpl w:val="86D28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BD7DE4"/>
    <w:multiLevelType w:val="multilevel"/>
    <w:tmpl w:val="FC44824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E83E8B"/>
    <w:multiLevelType w:val="multilevel"/>
    <w:tmpl w:val="17A8DFD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8F7CF0"/>
    <w:multiLevelType w:val="multilevel"/>
    <w:tmpl w:val="AE94F8E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41E7E90"/>
    <w:multiLevelType w:val="multilevel"/>
    <w:tmpl w:val="52529C2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CCF4203"/>
    <w:multiLevelType w:val="hybridMultilevel"/>
    <w:tmpl w:val="3B8E0EA6"/>
    <w:lvl w:ilvl="0" w:tplc="A2D67C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7D6D30"/>
    <w:multiLevelType w:val="multilevel"/>
    <w:tmpl w:val="54CCA6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60429B7"/>
    <w:multiLevelType w:val="hybridMultilevel"/>
    <w:tmpl w:val="2A2E9226"/>
    <w:lvl w:ilvl="0" w:tplc="A2D67C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1B7280"/>
    <w:multiLevelType w:val="hybridMultilevel"/>
    <w:tmpl w:val="BA46C4EE"/>
    <w:lvl w:ilvl="0" w:tplc="A2D67C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F329C0"/>
    <w:multiLevelType w:val="hybridMultilevel"/>
    <w:tmpl w:val="DC60CD46"/>
    <w:lvl w:ilvl="0" w:tplc="A2D67C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4D45BE"/>
    <w:multiLevelType w:val="multilevel"/>
    <w:tmpl w:val="8A3A4D6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C45CEC"/>
    <w:multiLevelType w:val="multilevel"/>
    <w:tmpl w:val="43D22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053645">
    <w:abstractNumId w:val="5"/>
  </w:num>
  <w:num w:numId="2" w16cid:durableId="691346809">
    <w:abstractNumId w:val="7"/>
  </w:num>
  <w:num w:numId="3" w16cid:durableId="1089043675">
    <w:abstractNumId w:val="6"/>
  </w:num>
  <w:num w:numId="4" w16cid:durableId="1314212944">
    <w:abstractNumId w:val="4"/>
  </w:num>
  <w:num w:numId="5" w16cid:durableId="2074035958">
    <w:abstractNumId w:val="12"/>
  </w:num>
  <w:num w:numId="6" w16cid:durableId="539438486">
    <w:abstractNumId w:val="0"/>
  </w:num>
  <w:num w:numId="7" w16cid:durableId="72823254">
    <w:abstractNumId w:val="1"/>
  </w:num>
  <w:num w:numId="8" w16cid:durableId="527454222">
    <w:abstractNumId w:val="9"/>
  </w:num>
  <w:num w:numId="9" w16cid:durableId="361171481">
    <w:abstractNumId w:val="3"/>
  </w:num>
  <w:num w:numId="10" w16cid:durableId="1075587873">
    <w:abstractNumId w:val="11"/>
  </w:num>
  <w:num w:numId="11" w16cid:durableId="1715426502">
    <w:abstractNumId w:val="2"/>
  </w:num>
  <w:num w:numId="12" w16cid:durableId="843276960">
    <w:abstractNumId w:val="8"/>
  </w:num>
  <w:num w:numId="13" w16cid:durableId="102664170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UwtDQwMzS2tDSyMLRU0lEKTi0uzszPAykwqgUAwNcAwywAAAA="/>
  </w:docVars>
  <w:rsids>
    <w:rsidRoot w:val="003470A6"/>
    <w:rsid w:val="000D2514"/>
    <w:rsid w:val="003470A6"/>
    <w:rsid w:val="00370132"/>
    <w:rsid w:val="004313D2"/>
    <w:rsid w:val="004F0EB2"/>
    <w:rsid w:val="00537569"/>
    <w:rsid w:val="00663A7F"/>
    <w:rsid w:val="0070460C"/>
    <w:rsid w:val="00716367"/>
    <w:rsid w:val="008D7230"/>
    <w:rsid w:val="00BD75E2"/>
    <w:rsid w:val="00D94430"/>
    <w:rsid w:val="00EA446C"/>
    <w:rsid w:val="00F36323"/>
    <w:rsid w:val="00FF3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0A4C1"/>
  <w15:docId w15:val="{B24D8132-76EE-4F87-A285-DD612CD38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GB" w:bidi="ar-SA"/>
      </w:rPr>
    </w:rPrDefault>
    <w:pPrDefault>
      <w:pPr>
        <w:spacing w:after="200" w:line="33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E3B"/>
    <w:pPr>
      <w:suppressAutoHyphens/>
    </w:pPr>
    <w:rPr>
      <w:lang w:val="de-D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6E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6E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6E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6E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6E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6E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6E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6E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6E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A6E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A6E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6E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6E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6E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6E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6E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6E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6E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6E3B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1A6E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6E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6E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6E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6E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6E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6E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6E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6E3B"/>
    <w:rPr>
      <w:b/>
      <w:bCs/>
      <w:smallCaps/>
      <w:color w:val="0F4761" w:themeColor="accent1" w:themeShade="BF"/>
      <w:spacing w:val="5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Strong">
    <w:name w:val="Strong"/>
    <w:basedOn w:val="DefaultParagraphFont"/>
    <w:uiPriority w:val="22"/>
    <w:qFormat/>
    <w:rsid w:val="00370132"/>
    <w:rPr>
      <w:b/>
      <w:bCs/>
    </w:rPr>
  </w:style>
  <w:style w:type="table" w:styleId="TableGrid">
    <w:name w:val="Table Grid"/>
    <w:basedOn w:val="TableNormal"/>
    <w:uiPriority w:val="39"/>
    <w:rsid w:val="00704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1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xJFs9BSqya5HFY2EXTjZaEjKGg==">CgMxLjAyCGguZ2pkZ3hzMgloLjMwajB6bGw4AHIhMTltLUtwdzVzMThBdUZaLWtYSW9LNDJvQ0NQRWtZaDl4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3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Nataliia Yehorchenkova</dc:creator>
  <cp:lastModifiedBy>Nataliia Yehorchenkova</cp:lastModifiedBy>
  <cp:revision>5</cp:revision>
  <dcterms:created xsi:type="dcterms:W3CDTF">2025-03-07T07:40:00Z</dcterms:created>
  <dcterms:modified xsi:type="dcterms:W3CDTF">2025-03-07T10:57:00Z</dcterms:modified>
</cp:coreProperties>
</file>