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3"/>
        <w:gridCol w:w="8869"/>
      </w:tblGrid>
      <w:tr w:rsidR="00703B3E" w:rsidRPr="00583780" w14:paraId="5994AFAB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9E10E" w14:textId="77777777"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</w:t>
            </w:r>
            <w:r w:rsidR="003C0CCA" w:rsidRPr="003C0CCA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технології</w:t>
            </w:r>
            <w:proofErr w:type="spellEnd"/>
            <w:r w:rsidR="003C0CCA" w:rsidRPr="003C0CCA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будівельних конструкцій і виробів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</w:t>
            </w:r>
          </w:p>
          <w:p w14:paraId="7FBB901D" w14:textId="77777777" w:rsidR="00703B3E" w:rsidRPr="00583780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3C0CCA">
              <w:rPr>
                <w:rFonts w:ascii="Times New Roman" w:hAnsi="Times New Roman"/>
                <w:lang w:eastAsia="uk-UA"/>
              </w:rPr>
              <w:t xml:space="preserve"> </w:t>
            </w:r>
            <w:r w:rsidR="003C0CCA" w:rsidRPr="003C0CCA">
              <w:rPr>
                <w:rFonts w:ascii="Times New Roman" w:hAnsi="Times New Roman"/>
                <w:u w:val="single"/>
                <w:lang w:eastAsia="uk-UA"/>
              </w:rPr>
              <w:t>Руденко Ігор Ігоревич</w:t>
            </w:r>
          </w:p>
        </w:tc>
      </w:tr>
      <w:tr w:rsidR="00703B3E" w:rsidRPr="007043D3" w14:paraId="5A964517" w14:textId="77777777">
        <w:trPr>
          <w:trHeight w:val="652"/>
        </w:trPr>
        <w:tc>
          <w:tcPr>
            <w:tcW w:w="14992" w:type="dxa"/>
            <w:gridSpan w:val="2"/>
          </w:tcPr>
          <w:p w14:paraId="38241068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A84FC2" w14:paraId="3306FBE4" w14:textId="77777777">
        <w:tc>
          <w:tcPr>
            <w:tcW w:w="6487" w:type="dxa"/>
          </w:tcPr>
          <w:p w14:paraId="51E55EFE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14:paraId="51A09082" w14:textId="15F2A118" w:rsidR="00FA4DDF" w:rsidRPr="00B5393E" w:rsidRDefault="00FA4DDF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Efficiency of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redispersible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polymer powders in mortars for anchoring application based on alkali activated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portland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cements / I. Rudenko, O. Konstantynovskyi, A. Kovalchuk, M.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Nikolainko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D.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Obremsky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</w:t>
            </w:r>
            <w:r w:rsidRPr="00B5393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Key Engineering Materials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2018. Vol. 761. P. 27–30. ISSN 10139826. (Scopus,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en-US"/>
              </w:rPr>
              <w:t>Index Copernicus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).</w:t>
            </w:r>
          </w:p>
          <w:p w14:paraId="181AE4C5" w14:textId="41409C1A" w:rsidR="00A01A63" w:rsidRPr="00B5393E" w:rsidRDefault="00A01A63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Особливості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порової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структури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лужних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бетонів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як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чинник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здатності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самовідновлення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 П. В. Кривенко, І. І. Руденко, О. М.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О. В.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Ластівка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Збірник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Будівельні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матеріали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вироби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санітарна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техніка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Київ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НДІБМВ: 2018.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Вип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59.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С. 28-36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66B17818" w14:textId="79B30841" w:rsidR="00A01A63" w:rsidRPr="00B5393E" w:rsidRDefault="00A01A63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Високорухомі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шлаколужні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бетони з підвищеною ранньою міцністю. </w:t>
            </w:r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вісник будівництва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В. Кривенко, І. І. Руденко, О. М.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О. П.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Х.: ХНУБА, 2018. Т. 4.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 94.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117-125. </w:t>
            </w:r>
            <w:r w:rsidRPr="00B539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https://vestnik-construction.com.ua/images/pdf/4_94_2018/21.pdf</w:t>
            </w:r>
            <w:r w:rsidRPr="00B539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6450B09A" w14:textId="29919B6E" w:rsidR="00A01A63" w:rsidRPr="00B5393E" w:rsidRDefault="00A01A63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Ефективність пластифікуючих поверхнево-активних речовин у розчинах і бетонах на основі лужних цементів / Р. Ф.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Рунова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В. І. Гоц, І. І. Руденко, О. М.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О. П.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Констатиновський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О. В. Ластівка. </w:t>
            </w:r>
            <w:proofErr w:type="spellStart"/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Зб</w:t>
            </w:r>
            <w:proofErr w:type="spellEnd"/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наук. праць </w:t>
            </w:r>
            <w:proofErr w:type="spellStart"/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УкрДУЗТ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 Харків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УкрДузт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2018.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 182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18-27. http://csw.kart.edu.ua/article/view/159703/158966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7D4A272" w14:textId="77777777" w:rsidR="00FA4DDF" w:rsidRPr="00B5393E" w:rsidRDefault="00FA4DDF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Development of solutions concerning regulation of proper deformations in alkali-activated cements / P. </w:t>
            </w:r>
            <w:hyperlink r:id="rId7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Krivenko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V. </w:t>
            </w:r>
            <w:hyperlink r:id="rId8" w:history="1">
              <w:proofErr w:type="spellStart"/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Gots</w:t>
              </w:r>
              <w:proofErr w:type="spellEnd"/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O. </w:t>
            </w:r>
            <w:hyperlink r:id="rId9" w:history="1">
              <w:proofErr w:type="spellStart"/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Petropavlovskyi</w:t>
              </w:r>
              <w:proofErr w:type="spellEnd"/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I. Rudenko, O. </w:t>
            </w:r>
            <w:hyperlink r:id="rId10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Konstantynovskyi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A. </w:t>
            </w:r>
            <w:hyperlink r:id="rId11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Kovalchuk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</w:t>
            </w:r>
            <w:r w:rsidRPr="00B5393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Eastern-European Journal of Enterprise Technologies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2019. Vol. 5 (6-101). P. 24–32. ISSN 1729-3774. (Scopus,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en-US"/>
              </w:rPr>
              <w:t>Index Copernicus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).</w:t>
            </w:r>
          </w:p>
          <w:p w14:paraId="5368B360" w14:textId="225685BA" w:rsidR="00FA4DDF" w:rsidRPr="00B5393E" w:rsidRDefault="00FA4DDF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The influence of complex additive on strength and proper deformations of alkali-activated slag cements / P. </w:t>
            </w:r>
            <w:hyperlink r:id="rId12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Krivenko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O. </w:t>
            </w:r>
            <w:hyperlink r:id="rId13" w:history="1">
              <w:proofErr w:type="spellStart"/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Petropavlovskyi</w:t>
              </w:r>
              <w:proofErr w:type="spellEnd"/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I. </w:t>
            </w:r>
            <w:hyperlink r:id="rId14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Rudenko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O. </w:t>
            </w:r>
            <w:hyperlink r:id="rId15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Konstantynovskyi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</w:t>
            </w:r>
            <w:r w:rsidRPr="00B5393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Materials Science Forum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2019.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Vol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968. P. 13–19. (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Scopus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en-US"/>
              </w:rPr>
              <w:t>Index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en-US"/>
              </w:rPr>
              <w:t>Copernicus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14:paraId="6C54EF5C" w14:textId="135771A5" w:rsidR="00A01A63" w:rsidRPr="00B5393E" w:rsidRDefault="00A01A63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lastRenderedPageBreak/>
              <w:t xml:space="preserve">Вплив органо-мінеральних комплексів на міцність і власні деформації шлаколужних цементів </w:t>
            </w:r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/ </w:t>
            </w:r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П. В. Кривенко, О. М.</w:t>
            </w:r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 xml:space="preserve">, І. І. Руденко, О. П.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Константиновський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 xml:space="preserve">. </w:t>
            </w:r>
            <w:r w:rsidRPr="00B5393E">
              <w:rPr>
                <w:rFonts w:ascii="Times New Roman" w:hAnsi="Times New Roman"/>
                <w:i/>
                <w:sz w:val="24"/>
                <w:szCs w:val="24"/>
                <w:lang w:val="uk-UA" w:eastAsia="fr-FR"/>
              </w:rPr>
              <w:t>Вісник Одеської державної академії будівництва та архітектури</w:t>
            </w:r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 xml:space="preserve">. Одеса: ОДАБА, 2019.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Вип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 xml:space="preserve">. 75. С. 81-90.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http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://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visnyk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-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odaba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.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org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.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ua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 w:eastAsia="fr-FR"/>
              </w:rPr>
              <w:t>/2019-75/11.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pdf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eastAsia="fr-FR"/>
              </w:rPr>
              <w:t>.</w:t>
            </w:r>
          </w:p>
          <w:p w14:paraId="1CAF7EEA" w14:textId="5BEF1DC4" w:rsidR="00F325BB" w:rsidRPr="00B5393E" w:rsidRDefault="00F325BB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Лужний портландцемент з регульованими власними деформаціями як основа розчинів для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анкерування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П. В.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Кривенко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, І. І. Руденко, О. М.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</w:rPr>
              <w:t>,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О.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П.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</w:rPr>
              <w:t>Констатиновський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</w:rPr>
              <w:t>, А.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В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Ковальчук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вісник будівництва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Харків: ХНУБА, 2019.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 3. Том 97. С. 85-92. https://vestnik-construction.com.ua/images/pdf/3_97_2019/19.pdf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F55DAD7" w14:textId="1EDACBCC" w:rsidR="00F325BB" w:rsidRPr="00B5393E" w:rsidRDefault="00F325BB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Вплив органо-мінеральних комплексних добавок на властивості анкерних розчинів на основі лужного портландцементу / П. В. Кривенко, І. І. Руденко, О. М.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О. П.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. Збірник «Будівельні матеріали, вироби та санітарна техніка»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Київ: НДІБМВ, 2019.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 60. С.18-27. https://repositary.knuba.edu.ua/bitstream/handle/987654321/5738/zbirnyk_N60-18-27.pdf?sequence=1&amp;isAllowed=y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4AC913DF" w14:textId="01784973" w:rsidR="00F325BB" w:rsidRPr="00B5393E" w:rsidRDefault="00F325BB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Методологія впровадження нових добавок для бетонів / Р. Ф.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Рунова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І. І. Руденко, В. В.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Товстоніс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С. М.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Чудновський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О. А.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Погореляк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5393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Збірник наукових праць «</w:t>
            </w:r>
            <w:proofErr w:type="spellStart"/>
            <w:r w:rsidRPr="00B5393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B5393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матеріали, конструкції, будівлі та споруди».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Рівно, Національний університет водного господарства та природокористування, 2019.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 38. С. 251-257.</w:t>
            </w:r>
          </w:p>
          <w:p w14:paraId="7EA665F0" w14:textId="017CC18F" w:rsidR="00F325BB" w:rsidRPr="00B5393E" w:rsidRDefault="00F325BB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тринатрійфосфату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запобіганні корозії сталевої арматури в шлаколужному бетоні / П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Кривенко, 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Ковальчук, І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Руденко, 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вісник будівництва</w:t>
            </w:r>
            <w:r w:rsidRPr="00B5393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2020. Т.2, №2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(100). C.176-187. https://vestnik-construction.com.ua/images/pdf/2_100_2020/30.pdf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A1A3908" w14:textId="2AFFD42A" w:rsidR="00F325BB" w:rsidRPr="00B5393E" w:rsidRDefault="00F325BB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Регулювання власних деформацій шлаколужних дрібнозернистих бетонів комплексними багатофункціональними добавками для попередження корозії сталевої арматури / П. В. Кривенко, О. М.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І. І. Руденко, О. П.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Збірник наукових праць </w:t>
            </w:r>
            <w:proofErr w:type="spellStart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УкрДУЗТ</w:t>
            </w:r>
            <w:proofErr w:type="spellEnd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.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Харків: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УкрДУЗТ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2020.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 189. С. 13-20. http://csw.kart.edu.ua/article/view/213163/213237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337B170A" w14:textId="54B78D84" w:rsidR="00B5393E" w:rsidRPr="00B5393E" w:rsidRDefault="00B5393E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Ковальчук А.,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О., Руденко І. Ефективність використання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повітровтягувальних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добавок в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штукатурках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спеціального призначення</w:t>
            </w:r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. Збірник </w:t>
            </w:r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lastRenderedPageBreak/>
              <w:t>наукових праць «</w:t>
            </w:r>
            <w:proofErr w:type="spellStart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 матеріали, конструкції, будівлі та споруди».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Рівно: Національний університет водного господарства та природокористування, 2020.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Вип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 38. С.185-193.</w:t>
            </w:r>
          </w:p>
          <w:p w14:paraId="72B63A0C" w14:textId="77777777" w:rsidR="00703B3E" w:rsidRPr="00B5393E" w:rsidRDefault="00FA4DDF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Kryvenko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P., Rudenko І., Konstantynovskyi O. Comparison of influence of surfactants on the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thermokinetic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characteristics of alkali-activated slag cement. Eastern-European Journal of Enterprise Technologies (ISSN (print) 1729-3774, ISSN (on-line) 1729-4061).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Харків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ПП «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Технологічний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центр», 2021.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Vol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6 (6-114).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pp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6-15.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DOI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https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://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doi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org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/10.15587/1729-4061.2021.245916. </w:t>
            </w:r>
            <w:hyperlink r:id="rId16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http://journals.uran.ua/eejet/article/view/245916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(Scopus)</w:t>
            </w:r>
          </w:p>
          <w:p w14:paraId="53DDC5D6" w14:textId="6C9032DD" w:rsidR="00FA4DDF" w:rsidRPr="00B5393E" w:rsidRDefault="00FA4DDF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Kryvenko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Gots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Petropavlovskyi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O., Rudenko І., Konstantynovskyi O. Complex shrinkage-reducing additives for alkali activated slag cement fine concrete. Solid State Phenomena (ISSN: 1662-9779). Trans Tech Publication, 2021. Vol.321. pp. 165-170. DOI: https://doi.org/10.4028/www.scientific.net/SSP.321.165. (Scopus)</w:t>
            </w:r>
          </w:p>
          <w:p w14:paraId="72FC31EE" w14:textId="65F5C1C2" w:rsidR="00B5393E" w:rsidRPr="00B5393E" w:rsidRDefault="00B5393E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Підвищення захисних властивостей шлаколужного бетону щодо сталевої арматури при замішуванні морською водою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/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П. В. Кривенко, І. І.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Руденко, О. П.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Константиновський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, О. В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Бойко </w:t>
            </w:r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Вісник ОДАБА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. Одеса: ОДАБА, 2021,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Vol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. 83, с. 67-76.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http://visnyk-odaba.org.ua/2021-83/83-7.pdf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14:paraId="086E30D5" w14:textId="3EC2506A" w:rsidR="00B5393E" w:rsidRPr="00B5393E" w:rsidRDefault="00B5393E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Протидія дифузії іонів морської води в структуру шлаколужного залізобетону. Науковий вісник будівництва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/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П. В.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Кривенко, І. І. Руденко, О. П.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Константиновський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, О. В. Бойко. Харків, ХНУБА, 2021. Т. 104. №. 2.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C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.246-256. https://vestnik-construction.com.ua/images/pdf/2_104_2021/37.pdf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.</w:t>
            </w:r>
          </w:p>
          <w:p w14:paraId="3F93D616" w14:textId="2F26508D" w:rsidR="00B5393E" w:rsidRPr="00B5393E" w:rsidRDefault="00B5393E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Кривенко П. В., Руденко І. І.,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Константиновський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О. П. Покриття для захисту бетону від сульфатних середовищ. </w:t>
            </w:r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 xml:space="preserve">Збірник наукових праць </w:t>
            </w:r>
            <w:proofErr w:type="spellStart"/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. Харків: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, 2021. № 196. С. 77-87. https://kart.edu.ua/wp-content/uploads/2021/04/tht_zbirn_196.pdf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.</w:t>
            </w:r>
          </w:p>
          <w:p w14:paraId="6BECFD46" w14:textId="1144194C" w:rsidR="00B5393E" w:rsidRPr="00B5393E" w:rsidRDefault="00B5393E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Отримання декоративних лужно-активованих цементів при використанні шлаків з підвищеним вмістом оксидів заліза / П. В. Кривенко, І. І. Руденко, О. Г.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Гелевера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, Н. В. Рогозіна </w:t>
            </w:r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 xml:space="preserve">Збірник наукових праць </w:t>
            </w:r>
            <w:proofErr w:type="spellStart"/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Харків: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, 2021. № 198. С. 30-40. http://csw.kart.edu.ua/article/view/256531/253590</w:t>
            </w:r>
          </w:p>
          <w:p w14:paraId="6BB612D8" w14:textId="7F5E724C" w:rsidR="00125812" w:rsidRPr="00B5393E" w:rsidRDefault="00125812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Mitigation of corrosion initiated by Cl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and SO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-ions in blast furnace cement concrete mixed with sea water / P.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Kryvenko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, I.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Rudenko,  O.</w:t>
            </w:r>
            <w:proofErr w:type="gram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Konstantynovskyi,  D.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Vaičiukynienė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393E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Materials</w:t>
            </w:r>
            <w:r w:rsidR="00823F1E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2022. Vol. 15(9), 3003. DOI: 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https://doi.org/10.3390/ma15093003</w:t>
            </w:r>
            <w:r w:rsidR="00823F1E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 (Scopus)</w:t>
            </w:r>
          </w:p>
          <w:p w14:paraId="0A5F30B4" w14:textId="28AC6D6E" w:rsidR="00823F1E" w:rsidRPr="00B5393E" w:rsidRDefault="00823F1E" w:rsidP="00FA4DDF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600"/>
              </w:tabs>
              <w:spacing w:after="0" w:line="240" w:lineRule="auto"/>
              <w:ind w:left="600"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Feasibility of incorporating SO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ion in zeolite-like matrices based on alkaline aluminosilicate binders</w:t>
            </w:r>
            <w:r w:rsidR="008253F4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/ P. Krivenko, V. </w:t>
            </w:r>
            <w:proofErr w:type="spellStart"/>
            <w:r w:rsidR="008253F4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Kyrychok</w:t>
            </w:r>
            <w:proofErr w:type="spellEnd"/>
            <w:r w:rsidR="008253F4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, I. Rudenko, O. Konstantynovskyi, D. </w:t>
            </w:r>
            <w:proofErr w:type="spellStart"/>
            <w:r w:rsidR="008253F4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Vaičiukynienė</w:t>
            </w:r>
            <w:proofErr w:type="spellEnd"/>
            <w:r w:rsidR="008253F4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393E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Consruction</w:t>
            </w:r>
            <w:proofErr w:type="spellEnd"/>
            <w:r w:rsidRPr="00B5393E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and Building Materials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(Scopus) (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знаходиться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редакцій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стадії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рецензування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DFB76BC" w14:textId="77777777" w:rsidR="00FA4DDF" w:rsidRPr="00FA4DDF" w:rsidRDefault="00FA4DDF" w:rsidP="00FA4DDF">
            <w:pPr>
              <w:widowControl w:val="0"/>
              <w:tabs>
                <w:tab w:val="left" w:pos="600"/>
              </w:tabs>
              <w:spacing w:after="0" w:line="240" w:lineRule="auto"/>
              <w:ind w:left="142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A84FC2" w14:paraId="096E9080" w14:textId="77777777">
        <w:tc>
          <w:tcPr>
            <w:tcW w:w="6487" w:type="dxa"/>
          </w:tcPr>
          <w:p w14:paraId="2DFA1B64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14:paraId="6EF9A2B1" w14:textId="77777777" w:rsidR="00FA4DDF" w:rsidRPr="00FA4DDF" w:rsidRDefault="00FA4DDF" w:rsidP="00FA4DDF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Пат. 122081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Україна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Шлаколужний цемент для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високорухливих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бетонних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сумішей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бетонів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їх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основі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П. В. Кривенко, О. М.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Петропавловський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О. Ю. Ковальчук, А. В. Пасько, І. І. Руденко, О. П.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Константиновський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  а 20180796;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опублік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10.09.2020,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Бюл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№ 17. (</w:t>
            </w:r>
            <w:r w:rsidRPr="00F702F6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Патент на </w:t>
            </w:r>
            <w:proofErr w:type="spellStart"/>
            <w:r w:rsidRPr="00F702F6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винахід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14:paraId="79E3588F" w14:textId="77777777" w:rsidR="00FA4DDF" w:rsidRPr="00FA4DDF" w:rsidRDefault="00FA4DDF" w:rsidP="00FA4DDF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14:paraId="21C95452" w14:textId="77777777" w:rsidR="009F50D1" w:rsidRPr="00FA4DDF" w:rsidRDefault="009F50D1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A4D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свідоцтва про реєстрацію авторського права на твір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14:paraId="43B496B2" w14:textId="77777777" w:rsidR="00FA4DDF" w:rsidRPr="00FA4DDF" w:rsidRDefault="00FA4DD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Кривенко П.В., Руденко І.І., </w:t>
            </w:r>
            <w:proofErr w:type="spellStart"/>
            <w:r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О.П., Бойко О.В. Свідоцтво №109000. Стаття «П</w:t>
            </w:r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ротидія дифузії іонів морської води в структуру шлаколужного залізобетону». 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дата реєстрації 1 листопада 2021 р.</w:t>
            </w:r>
          </w:p>
          <w:p w14:paraId="0205FA64" w14:textId="77777777" w:rsidR="00FA4DDF" w:rsidRPr="00FA4DDF" w:rsidRDefault="00FA4DD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638BFF" w14:textId="77777777" w:rsidR="00FA4DDF" w:rsidRPr="00FA4DDF" w:rsidRDefault="00FA4DD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Руденко І.І., </w:t>
            </w:r>
            <w:proofErr w:type="spellStart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Бойко О.В. </w:t>
            </w:r>
            <w:r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Свідоцтво №108999. Стаття «Підвищення захисних властивостей шлаколужного бетону щодо сталевої арматури при замішуванні морською водою». </w:t>
            </w:r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дата реєстрації 1 листопада 2021 р.</w:t>
            </w:r>
          </w:p>
          <w:p w14:paraId="17FE7BED" w14:textId="77777777" w:rsidR="00FA4DDF" w:rsidRPr="00FA4DDF" w:rsidRDefault="00FA4DD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E4E5C0" w14:textId="77777777" w:rsidR="00FA4DDF" w:rsidRPr="00FA4DDF" w:rsidRDefault="00FA4DD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Руденко І.І., </w:t>
            </w:r>
            <w:proofErr w:type="spellStart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  <w:r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№108998. Стаття «П</w:t>
            </w:r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окриття для захисту бетону від сульфатних середовищ». 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дата реєстрації 1 листопада 2021 р.</w:t>
            </w:r>
          </w:p>
          <w:p w14:paraId="204EC880" w14:textId="77777777" w:rsidR="00FA4DDF" w:rsidRPr="00FA4DDF" w:rsidRDefault="00FA4DD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E7669C" w14:paraId="711E7F1F" w14:textId="77777777">
        <w:tc>
          <w:tcPr>
            <w:tcW w:w="6487" w:type="dxa"/>
          </w:tcPr>
          <w:p w14:paraId="71AA223D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авторських аркушів), в тому числі видані у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4C33A9A3" w14:textId="77777777" w:rsidR="00703B3E" w:rsidRDefault="00E7669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543516">
              <w:rPr>
                <w:lang w:val="uk-UA"/>
              </w:rPr>
              <w:t xml:space="preserve"> </w:t>
            </w:r>
            <w:r w:rsidRPr="00934EFF">
              <w:rPr>
                <w:lang w:val="en-US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Complex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shrinkage-reducing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additives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for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alkali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activated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slag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cement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fine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concrete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Language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English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):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Chapter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Binders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Materials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technologies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modern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construction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VI / P.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Kryvenko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V.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Gots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O.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Petropavlovskyi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І. Rudenko, O. Konstantynovskyi.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Edited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by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Karel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Dvořák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Dominik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Gazdič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Trans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Tech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Publication</w:t>
            </w:r>
            <w:proofErr w:type="spellEnd"/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2021.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https://www.scientific.net/Paper/Preview/563089.</w:t>
            </w:r>
          </w:p>
          <w:p w14:paraId="26F070A7" w14:textId="287D5C74" w:rsidR="00E7669C" w:rsidRPr="00C84368" w:rsidRDefault="00E7669C" w:rsidP="00E7669C">
            <w:pPr>
              <w:tabs>
                <w:tab w:val="left" w:pos="293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Пластифіковані бетони і розчини на основі цементів системи 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монографія / П. 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В.Кривенко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Р. Ф. 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Рунова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І.Руденко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Київ: Видавництво Ліра-К, 2022. 392 с.</w:t>
            </w:r>
          </w:p>
        </w:tc>
      </w:tr>
      <w:tr w:rsidR="00703B3E" w:rsidRPr="00E7669C" w14:paraId="22AEAED7" w14:textId="77777777">
        <w:tc>
          <w:tcPr>
            <w:tcW w:w="6487" w:type="dxa"/>
          </w:tcPr>
          <w:p w14:paraId="39FFBAE7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6C764261" w14:textId="19EAE588" w:rsidR="00A84FC2" w:rsidRPr="007E11D4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Основи технології хімічних виробництв стінових, оздоблювальних та захисних матеріалів: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етодичні вказівки до вивчення дисципліни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О.Г.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Гелевера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0FDD7150" w14:textId="01C8DCD3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: 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Частина 1. В’яжучі матеріали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3D50B718" w14:textId="64304162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3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В’яжучі матеріали, будівельні розчини та бетони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>
              <w:t xml:space="preserve">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Частина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2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>
              <w:t xml:space="preserve"> </w:t>
            </w:r>
            <w:r w:rsidRPr="00B9684C">
              <w:rPr>
                <w:rStyle w:val="FontStyle42"/>
                <w:sz w:val="24"/>
                <w:szCs w:val="24"/>
                <w:lang w:val="uk-UA" w:eastAsia="uk-UA"/>
              </w:rPr>
              <w:t>Бетони та будівельні розчини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5C8CF3ED" w14:textId="576DBF84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4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ab/>
              <w:t>Математичне моделювання та оптимізація об’єктів хімічної технології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 w:rsidRPr="00A35B37">
              <w:rPr>
                <w:lang w:val="uk-UA"/>
              </w:rPr>
              <w:t xml:space="preserve">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Частина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1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>
              <w:t xml:space="preserve"> 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Моделі, методи моделювання й області їх застосування. Аналітичний метод побудови математичних моделей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2676ADA1" w14:textId="7E949DD0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 xml:space="preserve"> Математичне моделювання та оптимізація об’єктів хімічної технології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 w:rsidRPr="00A35B37">
              <w:rPr>
                <w:lang w:val="uk-UA"/>
              </w:rPr>
              <w:t xml:space="preserve">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к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онспект лекцій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у двох частинах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Ч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астина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2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 w:rsidRPr="009C6394">
              <w:rPr>
                <w:lang w:val="uk-UA"/>
              </w:rPr>
              <w:t xml:space="preserve">  </w:t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Експериментальний метод побудови математичних моделей. Методи оптимізації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31EFCDDC" w14:textId="46EAEC78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6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 В’яжучі матеріали, будівельні розчини та бетони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: 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до вивчення дисципліни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57B938A1" w14:textId="3BA6C09C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 В’яжучі матеріали, будівельні розчини та бетони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: 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до виконання лабораторних робіт 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77BE4BCE" w14:textId="07A6BB61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7E11D4">
              <w:rPr>
                <w:rStyle w:val="FontStyle42"/>
                <w:sz w:val="24"/>
                <w:szCs w:val="24"/>
                <w:lang w:val="uk-UA" w:eastAsia="uk-UA"/>
              </w:rPr>
              <w:t xml:space="preserve"> В’яжучі матеріали, будівельні розчини та бетони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 w:rsidRPr="00AE47C6">
              <w:rPr>
                <w:lang w:val="uk-UA"/>
              </w:rPr>
              <w:t xml:space="preserve">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AE47C6">
              <w:rPr>
                <w:lang w:val="uk-UA"/>
              </w:rPr>
              <w:t xml:space="preserve"> </w:t>
            </w:r>
            <w:r w:rsidRPr="00D678B9">
              <w:rPr>
                <w:rStyle w:val="FontStyle42"/>
                <w:sz w:val="24"/>
                <w:szCs w:val="24"/>
                <w:lang w:val="uk-UA" w:eastAsia="uk-UA"/>
              </w:rPr>
              <w:t xml:space="preserve">до практичних занять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5A6F1D70" w14:textId="7742AC8C" w:rsidR="00A84FC2" w:rsidRDefault="00A84FC2" w:rsidP="00A84FC2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Математичне моделювання та оптимізація об’єктів хімічної технології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: 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до вивчення дисципліни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  <w:p w14:paraId="22B20676" w14:textId="50E0852C" w:rsidR="00703B3E" w:rsidRPr="00C84368" w:rsidRDefault="00A84FC2" w:rsidP="00A84FC2">
            <w:pPr>
              <w:tabs>
                <w:tab w:val="left" w:pos="34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1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0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ab/>
            </w:r>
            <w:r w:rsidRPr="00A35B37">
              <w:rPr>
                <w:rStyle w:val="FontStyle42"/>
                <w:sz w:val="24"/>
                <w:szCs w:val="24"/>
                <w:lang w:val="uk-UA" w:eastAsia="uk-UA"/>
              </w:rPr>
              <w:t>Математичне моделювання та оптимізація об’єктів хімічної технології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: </w:t>
            </w:r>
            <w:r w:rsidRPr="00CE4E43">
              <w:rPr>
                <w:lang w:val="uk-UA"/>
              </w:rPr>
              <w:t xml:space="preserve"> 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>м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етодичні вказівки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8762E3">
              <w:rPr>
                <w:lang w:val="uk-UA"/>
              </w:rPr>
              <w:t xml:space="preserve"> </w:t>
            </w:r>
            <w:r w:rsidRPr="00D678B9">
              <w:rPr>
                <w:rStyle w:val="FontStyle42"/>
                <w:sz w:val="24"/>
                <w:szCs w:val="24"/>
                <w:lang w:val="uk-UA" w:eastAsia="uk-UA"/>
              </w:rPr>
              <w:t xml:space="preserve">до практичних занять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для студентів спеціальності 161 «Хімічні технології та інженерія»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спеціалізації «Новітні технології та дизайн сучасних стінових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25232B">
              <w:rPr>
                <w:rStyle w:val="FontStyle42"/>
                <w:sz w:val="24"/>
                <w:szCs w:val="24"/>
                <w:lang w:val="uk-UA" w:eastAsia="uk-UA"/>
              </w:rPr>
              <w:t>та оздоблювальних матеріалів»</w:t>
            </w:r>
            <w:r>
              <w:rPr>
                <w:rStyle w:val="FontStyle42"/>
                <w:sz w:val="24"/>
                <w:szCs w:val="24"/>
                <w:lang w:val="uk-UA" w:eastAsia="uk-UA"/>
              </w:rPr>
              <w:t xml:space="preserve"> </w:t>
            </w:r>
            <w:r w:rsidRPr="007E1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</w:t>
            </w:r>
            <w:proofErr w:type="spellStart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7E11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(знаходиться в редакції).</w:t>
            </w:r>
          </w:p>
        </w:tc>
      </w:tr>
      <w:tr w:rsidR="00703B3E" w:rsidRPr="00C84368" w14:paraId="395C9565" w14:textId="77777777">
        <w:tc>
          <w:tcPr>
            <w:tcW w:w="6487" w:type="dxa"/>
          </w:tcPr>
          <w:p w14:paraId="22763D02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2D0F3378" w14:textId="77777777" w:rsidR="00703B3E" w:rsidRPr="00F702F6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 w:rsidRPr="00F702F6">
              <w:rPr>
                <w:rStyle w:val="rvts82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захищено докторську дисертацію</w:t>
            </w:r>
            <w:r w:rsidR="005E51E1" w:rsidRPr="00F702F6">
              <w:rPr>
                <w:rStyle w:val="rvts82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(2021 р.)</w:t>
            </w:r>
          </w:p>
          <w:p w14:paraId="3B364FD8" w14:textId="77777777" w:rsidR="001D5155" w:rsidRDefault="001D515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DA1F5B9" w14:textId="77777777" w:rsidR="001D5155" w:rsidRPr="001D5155" w:rsidRDefault="001D515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І. І. Розвиток наукових основ структуроутворення пластифікованих розчинів і бетонів на основі лужних цементів : </w:t>
            </w:r>
            <w:proofErr w:type="spell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… </w:t>
            </w:r>
            <w:proofErr w:type="spell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05.23.05 / </w:t>
            </w:r>
            <w:r w:rsidRPr="001D51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Київський національний університет будівництва та архітектури Міністерства освіти і науки України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D515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їв, 2021. 432 с.</w:t>
            </w:r>
          </w:p>
        </w:tc>
      </w:tr>
      <w:tr w:rsidR="00703B3E" w:rsidRPr="00A84FC2" w14:paraId="3822886E" w14:textId="77777777">
        <w:tc>
          <w:tcPr>
            <w:tcW w:w="6487" w:type="dxa"/>
          </w:tcPr>
          <w:p w14:paraId="2FDC1FB4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2AB91854" w14:textId="77777777" w:rsidR="00703B3E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наукове керівництво кандидатською дисертацією (Скорик В.В.)</w:t>
            </w:r>
            <w:r w:rsidR="0020614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отримано диплом кандидата наук</w:t>
            </w:r>
          </w:p>
          <w:p w14:paraId="19E7237D" w14:textId="77777777" w:rsidR="00E94BD1" w:rsidRDefault="00E94BD1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3492523" w14:textId="77777777" w:rsidR="00E94BD1" w:rsidRPr="00E94BD1" w:rsidRDefault="00E94BD1" w:rsidP="00E94B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Скорик В. В. Тампонажні розчини на основі лужного цементу для перемінних умов тверднення в свердловині : 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кнд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05.23.05 / </w:t>
            </w:r>
            <w:r w:rsidRPr="001D51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національний університет будівництва та архітектури Міністерства освіти і науки </w:t>
            </w:r>
            <w:proofErr w:type="spellStart"/>
            <w:r w:rsidRPr="001D51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proofErr w:type="spellEnd"/>
            <w:r w:rsidRPr="00E9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</w:t>
            </w:r>
          </w:p>
        </w:tc>
      </w:tr>
      <w:tr w:rsidR="00703B3E" w:rsidRPr="00C84368" w14:paraId="40E22855" w14:textId="77777777">
        <w:tc>
          <w:tcPr>
            <w:tcW w:w="6487" w:type="dxa"/>
          </w:tcPr>
          <w:p w14:paraId="1FD8C033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59522F01" w14:textId="77777777" w:rsidR="00703B3E" w:rsidRPr="00C84368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A84FC2" w14:paraId="7A9BA1F3" w14:textId="77777777">
        <w:tc>
          <w:tcPr>
            <w:tcW w:w="6487" w:type="dxa"/>
          </w:tcPr>
          <w:p w14:paraId="3F321F1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00DFA9E0" w14:textId="77777777"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зазначених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роботах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(проектах)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виконував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обов’язки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відповідального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виконавця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F8494CC" w14:textId="77777777"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«Наукові основи хімічної модифікації лужних цементів в суспензіях різної розрідженості для отримання будівельних сумішей заданої функціональності» (2015 – 2017 рр., № державної реєстрації </w:t>
            </w:r>
            <w:r w:rsidRPr="00B5188C">
              <w:rPr>
                <w:rStyle w:val="FontStyle14"/>
                <w:b w:val="0"/>
                <w:sz w:val="24"/>
                <w:szCs w:val="24"/>
                <w:lang w:val="uk-UA" w:eastAsia="uk-UA"/>
              </w:rPr>
              <w:t>0115</w:t>
            </w:r>
            <w:r w:rsidRPr="00B5188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000715); </w:t>
            </w:r>
          </w:p>
          <w:p w14:paraId="3C4D2636" w14:textId="77777777"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Розробка лужних цементів з регульованими власними деформаціями в системі 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Na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-С</w:t>
            </w:r>
            <w:proofErr w:type="spellStart"/>
            <w:r w:rsidRPr="00B5188C">
              <w:rPr>
                <w:rFonts w:ascii="Times New Roman" w:eastAsia="MS Mincho" w:hAnsi="Times New Roman" w:cs="Times New Roman"/>
                <w:sz w:val="24"/>
                <w:szCs w:val="24"/>
              </w:rPr>
              <w:t>aO</w:t>
            </w:r>
            <w:proofErr w:type="spellEnd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B5188C">
              <w:rPr>
                <w:rFonts w:ascii="Times New Roman" w:eastAsia="MS Mincho" w:hAnsi="Times New Roman" w:cs="Times New Roman"/>
                <w:sz w:val="24"/>
                <w:szCs w:val="24"/>
              </w:rPr>
              <w:t>gO</w:t>
            </w:r>
            <w:proofErr w:type="spellEnd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Al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, модифікованої </w:t>
            </w:r>
            <w:proofErr w:type="spellStart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аніоновміщуючими</w:t>
            </w:r>
            <w:proofErr w:type="spellEnd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добавками, вибраними з групи: сульфатів, нітратів, хлоридів, фторидів, фосфатів, і бетонів на їх основі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(2018 – 2020 рр., № державної реєстрації 0118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002017);</w:t>
            </w:r>
          </w:p>
          <w:p w14:paraId="76BFAB43" w14:textId="355BB3DC" w:rsidR="001D5155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Розробка засобів протидії корозії сталевої арматури в пластифікованих шлаколужних бетонах для спеціального призначення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(2020 – 2022 рр., № державної реєстрації 1020U001010).</w:t>
            </w:r>
          </w:p>
          <w:p w14:paraId="6B1CE80B" w14:textId="066F0334" w:rsidR="00B37849" w:rsidRDefault="00B37849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«Протидія транспорту агресивних іонів SO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2-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Cl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-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армованому сталевою арматурою портландцементному бетоні для морського будівництва»</w:t>
            </w:r>
            <w:r w:rsidRPr="00B378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(202</w:t>
            </w:r>
            <w:r w:rsid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B378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р., 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державної реєстрації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0122U002626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378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 М/12-2022 від 19.05.2022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 рамках спільного українсько-литовського проєкту науково-технічного співробітництва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);</w:t>
            </w:r>
          </w:p>
          <w:p w14:paraId="503E984A" w14:textId="75118F08" w:rsidR="00B37849" w:rsidRDefault="00B37849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«Проведення випробувань зразків бетону, оброблених реагентом ALAR PMM ® DP-100» (</w:t>
            </w:r>
            <w:r w:rsidR="007C2D1F"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7C2D1F"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022 р., </w:t>
            </w:r>
            <w:r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 48-2022 ВМ від 01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.07.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2022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</w:p>
          <w:p w14:paraId="321A0FFE" w14:textId="77777777"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E4576B" w14:textId="77777777"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зазначен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ій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робот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 (проекті)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виконував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обов’язки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наукового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керівнка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: </w:t>
            </w:r>
          </w:p>
          <w:p w14:paraId="4EFA7D09" w14:textId="77777777" w:rsidR="00B5188C" w:rsidRPr="00B5188C" w:rsidRDefault="00B5188C" w:rsidP="00B5188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«Розробка   багатофункціональних 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ресурсоекономних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будівельних розчинів і бетонів на основі декоративних цементів» (2021 – 2022 рр., № державної реєстрації </w:t>
            </w:r>
            <w:r w:rsidRPr="00B51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0121U001006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3B3E" w:rsidRPr="00C84368" w14:paraId="498197F6" w14:textId="77777777">
        <w:tc>
          <w:tcPr>
            <w:tcW w:w="6487" w:type="dxa"/>
          </w:tcPr>
          <w:p w14:paraId="3FA0E5C2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1A9B0E55" w14:textId="77777777" w:rsidR="00703B3E" w:rsidRPr="00C84368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відсутнє</w:t>
            </w:r>
          </w:p>
        </w:tc>
      </w:tr>
      <w:tr w:rsidR="00703B3E" w:rsidRPr="00C84368" w14:paraId="7EBA9306" w14:textId="77777777">
        <w:tc>
          <w:tcPr>
            <w:tcW w:w="6487" w:type="dxa"/>
          </w:tcPr>
          <w:p w14:paraId="0BAFA45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6C406DA0" w14:textId="77777777" w:rsidR="00703B3E" w:rsidRPr="00C84368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 w14:paraId="523FC531" w14:textId="77777777">
        <w:tc>
          <w:tcPr>
            <w:tcW w:w="6487" w:type="dxa"/>
          </w:tcPr>
          <w:p w14:paraId="56A74FC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6BAC7635" w14:textId="77777777" w:rsidR="00703B3E" w:rsidRPr="00C84368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F367F1" w14:paraId="0AF54B2F" w14:textId="77777777">
        <w:tc>
          <w:tcPr>
            <w:tcW w:w="6487" w:type="dxa"/>
          </w:tcPr>
          <w:p w14:paraId="737CBF0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13B9E576" w14:textId="77777777" w:rsidR="00E94BD1" w:rsidRPr="00E94BD1" w:rsidRDefault="00E94BD1" w:rsidP="00E94BD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50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Efficiency of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redispersible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polymer powders in mortars for anchoring application based on alkali activated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portland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cements / I. Rudenko, O. Konstantynovskyi, A. Kovalchuk, M.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Nikolainko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 D.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Obremsky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. 6th International Conference on Non-traditional cement and concrete. Brno, 2017. P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40–41. </w:t>
            </w:r>
          </w:p>
          <w:p w14:paraId="5DA49909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Control of early age cracking in early-strength concrete based on alkali-activated slag cement / P. </w:t>
            </w:r>
            <w:hyperlink r:id="rId17" w:history="1">
              <w:r w:rsidRPr="00E94BD1">
                <w:rPr>
                  <w:rStyle w:val="linktext"/>
                  <w:rFonts w:ascii="Times New Roman" w:hAnsi="Times New Roman"/>
                  <w:color w:val="2E2E2E"/>
                  <w:spacing w:val="2"/>
                  <w:sz w:val="24"/>
                  <w:szCs w:val="24"/>
                  <w:lang w:val="en-US"/>
                </w:rPr>
                <w:t xml:space="preserve">Krivenko, </w:t>
              </w:r>
            </w:hyperlink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O.</w:t>
            </w:r>
            <w:r w:rsidRPr="00E94BD1">
              <w:rPr>
                <w:rFonts w:ascii="Times New Roman" w:hAnsi="Times New Roman" w:cs="Times New Roman"/>
                <w:color w:val="323232"/>
                <w:spacing w:val="2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BC40D9">
              <w:fldChar w:fldCharType="begin"/>
            </w:r>
            <w:r w:rsidR="00BC40D9" w:rsidRPr="00A84FC2">
              <w:rPr>
                <w:lang w:val="en-US"/>
              </w:rPr>
              <w:instrText xml:space="preserve"> HYPERLINK "https://www.scopus.com/authid/detail.uri?authorId=57214219427" </w:instrText>
            </w:r>
            <w:r w:rsidR="00BC40D9">
              <w:fldChar w:fldCharType="separate"/>
            </w:r>
            <w:r w:rsidRPr="00E94BD1">
              <w:rPr>
                <w:rStyle w:val="linktext"/>
                <w:rFonts w:ascii="Times New Roman" w:hAnsi="Times New Roman"/>
                <w:color w:val="2E2E2E"/>
                <w:spacing w:val="2"/>
                <w:sz w:val="24"/>
                <w:szCs w:val="24"/>
                <w:lang w:val="en-US"/>
              </w:rPr>
              <w:t>Petropavlovskyi</w:t>
            </w:r>
            <w:proofErr w:type="spellEnd"/>
            <w:r w:rsidRPr="00E94BD1">
              <w:rPr>
                <w:rStyle w:val="linktext"/>
                <w:rFonts w:ascii="Times New Roman" w:hAnsi="Times New Roman"/>
                <w:color w:val="2E2E2E"/>
                <w:spacing w:val="2"/>
                <w:sz w:val="24"/>
                <w:szCs w:val="24"/>
                <w:lang w:val="en-US"/>
              </w:rPr>
              <w:t xml:space="preserve">, </w:t>
            </w:r>
            <w:r w:rsidR="00BC40D9">
              <w:rPr>
                <w:rStyle w:val="linktext"/>
                <w:rFonts w:ascii="Times New Roman" w:hAnsi="Times New Roman"/>
                <w:color w:val="2E2E2E"/>
                <w:spacing w:val="2"/>
                <w:sz w:val="24"/>
                <w:szCs w:val="24"/>
                <w:lang w:val="en-US"/>
              </w:rPr>
              <w:fldChar w:fldCharType="end"/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I. Rudenko, S.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Lakusta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2nd Intern. RILEM/COST Conference on Early Age Cracking and Serviceability in Cement-based Materials and Structures.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Brussel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2017.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V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ol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2.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829–834. </w:t>
            </w:r>
          </w:p>
          <w:p w14:paraId="0E8FDED1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The efficiency of plasticizing surfactants in alkali-activated cement mortars and concretes (Conference Paper) / R.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Runova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 V.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Gots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 I. Rudenko, O. Konstantynovskyi, O.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Lastivka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MATEC Web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of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Conferences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2018. 230, 03016. (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проіндексовано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Scopus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).</w:t>
            </w:r>
          </w:p>
          <w:p w14:paraId="4063A4A9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Plasticizing effect of surfactants in mortars and concretes based on alkali-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lastRenderedPageBreak/>
              <w:t xml:space="preserve">activated cements / R.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Runova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 I. Rudenko, O. Konstantynovskyi, O.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Lastivka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20th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Intern.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Baustofftagung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F.A. Finger-Institute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fur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Baustoffkunde. Bauhaus-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Universitat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Weimar.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8253F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201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8</w:t>
            </w:r>
            <w:r w:rsidRPr="008253F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Band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2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745–752.</w:t>
            </w:r>
          </w:p>
          <w:p w14:paraId="49B0ABBB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Characterization of the self-healing effect through pore structure and durability of alkali-activated cement concrete / P. </w:t>
            </w:r>
            <w:hyperlink r:id="rId18" w:history="1">
              <w:r w:rsidRPr="00E94BD1">
                <w:rPr>
                  <w:rStyle w:val="linktext"/>
                  <w:rFonts w:ascii="Times New Roman" w:hAnsi="Times New Roman"/>
                  <w:color w:val="2E2E2E"/>
                  <w:spacing w:val="2"/>
                  <w:sz w:val="24"/>
                  <w:szCs w:val="24"/>
                  <w:lang w:val="en-US"/>
                </w:rPr>
                <w:t>Krivenko, I. Rudenko,  O.</w:t>
              </w:r>
            </w:hyperlink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hyperlink r:id="rId19" w:history="1">
              <w:proofErr w:type="spellStart"/>
              <w:r w:rsidRPr="00E94BD1">
                <w:rPr>
                  <w:rStyle w:val="linktext"/>
                  <w:rFonts w:ascii="Times New Roman" w:hAnsi="Times New Roman"/>
                  <w:color w:val="2E2E2E"/>
                  <w:spacing w:val="2"/>
                  <w:sz w:val="24"/>
                  <w:szCs w:val="24"/>
                  <w:lang w:val="en-US"/>
                </w:rPr>
                <w:t>Petropavlovskyi</w:t>
              </w:r>
              <w:proofErr w:type="spellEnd"/>
            </w:hyperlink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Lastivka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SynerCrete’18 International Conference on Interdisciplinary </w:t>
            </w:r>
            <w:proofErr w:type="gram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Approaches  for</w:t>
            </w:r>
            <w:proofErr w:type="gram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Cement-based Materials and Structural Concrete.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Portugal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2018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Vol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1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.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401–406.  </w:t>
            </w:r>
          </w:p>
          <w:p w14:paraId="19B8F197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Alkali activated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portland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cement with adjustable proper deformations for anchoring application / P. Krivenko, O.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Petropavlovskyi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, I. Rudenko, O. Konstantynovskyi, A. Kovalchuk. IOP Conference Series: Materials Science and Engineering (MSE). 2019. 708(1). 012090. (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проіндексовано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Scopus).</w:t>
            </w:r>
          </w:p>
          <w:p w14:paraId="6718DA5C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Лужний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портландцемент з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регульованими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власними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деформаціями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для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анкерних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розчинів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/ П. В.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 xml:space="preserve">Кривенко, О. М.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>Петропавловський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 xml:space="preserve">, І. І. Руденко, О. П.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>Константиновський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 xml:space="preserve">, А. В. Ковальчук.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>Тези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fr-FR"/>
              </w:rPr>
              <w:t xml:space="preserve"> </w:t>
            </w:r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uk-UA"/>
              </w:rPr>
              <w:t xml:space="preserve">8-ї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uk-UA"/>
              </w:rPr>
              <w:t>Міжнародної</w:t>
            </w:r>
            <w:proofErr w:type="spellEnd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2"/>
                <w:sz w:val="24"/>
                <w:szCs w:val="24"/>
                <w:lang w:eastAsia="uk-UA"/>
              </w:rPr>
              <w:t>науково-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технічної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конференції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«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Проблеми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надійності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довговічності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інженерних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споруд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будівель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залізничному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транспорті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».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Український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університет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залізничного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транспорту. 2019.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Частина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2. С. 158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159.</w:t>
            </w:r>
          </w:p>
          <w:p w14:paraId="3F7DF794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Лужний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портландцемент з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регульованими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власними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деформаціями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як основа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розчинів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для </w:t>
            </w:r>
            <w:proofErr w:type="spell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анкерування</w:t>
            </w:r>
            <w:proofErr w:type="spell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  П.</w:t>
            </w:r>
            <w:proofErr w:type="gramEnd"/>
            <w:r w:rsidRPr="00E94B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fr-FR"/>
              </w:rPr>
              <w:t xml:space="preserve">Кривенко, О. М.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fr-FR"/>
              </w:rPr>
              <w:t>Петропавловський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fr-FR"/>
              </w:rPr>
              <w:t xml:space="preserve">, І. І. Руденко, О. П.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fr-FR"/>
              </w:rPr>
              <w:t>Константиновський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fr-FR"/>
              </w:rPr>
              <w:t xml:space="preserve">, А. В. Ковальчук.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Тези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5-ї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Міжнародної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науково-технічної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конференції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«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Теорія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методи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будівельного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матеріалознавства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eastAsia="uk-UA"/>
              </w:rPr>
              <w:t>»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. 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Харківський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національний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університет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будівництва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архітектури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2019. С. 62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66.</w:t>
            </w:r>
          </w:p>
          <w:p w14:paraId="5E8FC1C7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Enhancement of alkali-activated slag cement concretes crack resistance for mitigation of steel reinforcement corrosion / P. Krivenko, O.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Petropavlovskyi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 O. Kovalchuk, I. Rudenko, O. Konstantynovskyi.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E3S Web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of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Conferences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2020.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Vol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166. 06001. (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проіндексовано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Scopus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.</w:t>
            </w:r>
          </w:p>
          <w:p w14:paraId="4C09E767" w14:textId="77777777" w:rsidR="00E94BD1" w:rsidRP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Complex multifunctional additive for anchoring grout based on alkali-activated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portland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cement / P. </w:t>
            </w:r>
            <w:hyperlink r:id="rId20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Krivenko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O. </w:t>
            </w:r>
            <w:hyperlink r:id="rId21" w:history="1">
              <w:proofErr w:type="spellStart"/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Petropavlovskyi</w:t>
              </w:r>
              <w:proofErr w:type="spellEnd"/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I. </w:t>
            </w:r>
            <w:hyperlink r:id="rId22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Rudenko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O. </w:t>
            </w:r>
            <w:hyperlink r:id="rId23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Konstantynovskyi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A. </w:t>
            </w:r>
            <w:hyperlink r:id="rId24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Kovalchuk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IOP Conference Series: Materials Science and Engineering (MSE). 2020.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907(1), 012055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.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проіндексовано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Scopus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.</w:t>
            </w:r>
          </w:p>
          <w:p w14:paraId="32FF3AC7" w14:textId="4ACD3ECC" w:rsidR="00E94BD1" w:rsidRDefault="00E94BD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Комплексна добавка для анкерного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розчину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основі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лужного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портландцементу / П. В. Кривенко, О. М.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Петропавловський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І. І. Руденко, О. П.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Константиновський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А. В. Ковальчук, М. В.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Ніколаєнко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ІV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Міжнародна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науково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-практична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конференція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«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Інноваційні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технології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архітектурі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дизайні</w:t>
            </w:r>
            <w:proofErr w:type="spellEnd"/>
            <w:r w:rsidRPr="00E94BD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»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Харківський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національний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університет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будівництва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архітектури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2020. С. 176–178.</w:t>
            </w:r>
          </w:p>
          <w:p w14:paraId="10988434" w14:textId="04DE251D" w:rsidR="00F367F1" w:rsidRPr="00B62A3B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</w:pP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Обмеження транспорту іонів Сl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-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SO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/>
              </w:rPr>
              <w:t>4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2-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шлаколужному бетоні при експлуатації в морській воді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86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Кривенко П.В., Руденко І.І.,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О.П., Бойко О.В. Актуальні проблеми інженерної механіки: тези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доп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VIІI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наук.-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конф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/ під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ред. М. Г.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Сур’янінова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Одеса: ОДАБА, 2021. с.242-246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C639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https://drive.google.com/file/d/1aREGkdHWfTspi82-8Sy7lp-yCfxl7mrs/view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59426EA0" w14:textId="3F9567CD" w:rsidR="00B62A3B" w:rsidRPr="000841C0" w:rsidRDefault="00B62A3B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Prevention of steel reinforcement corrosion in alkali-activated slag cement concrete mixed with seawater / P. Krivenko, I. Rudenko, O. Konstantynovskyi, O.</w:t>
            </w:r>
            <w:r w:rsidRPr="00B6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Boiko</w:t>
            </w:r>
            <w:proofErr w:type="spellEnd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841C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E3S Web of Conferences</w:t>
            </w:r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2267-1242). EDP Sciences, 2021. Vol. 280. 07004 (Scopus). DOI: https://doi.org/10.1051/e3sconf/202128007004</w:t>
            </w:r>
            <w:r w:rsidR="000841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1BC0600" w14:textId="0FD457CC" w:rsidR="000841C0" w:rsidRPr="00880DCB" w:rsidRDefault="000841C0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</w:pP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Restriction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of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Cl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vertAlign w:val="superscript"/>
                <w:lang w:val="uk-UA"/>
              </w:rPr>
              <w:t>-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and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SO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vertAlign w:val="subscript"/>
                <w:lang w:val="uk-UA"/>
              </w:rPr>
              <w:t>4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vertAlign w:val="superscript"/>
                <w:lang w:val="uk-UA"/>
              </w:rPr>
              <w:t>2-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Ions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transport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in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alkali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activated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slag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cement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concrete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in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seawater</w:t>
            </w:r>
            <w:proofErr w:type="spellEnd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r w:rsidR="00880DCB" w:rsidRPr="00880DCB">
              <w:rPr>
                <w:rStyle w:val="a4"/>
                <w:b w:val="0"/>
                <w:bCs w:val="0"/>
                <w:spacing w:val="-4"/>
                <w:lang w:val="en-US"/>
              </w:rPr>
              <w:t xml:space="preserve">/ 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P.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Krivenko,  I. Rudenko,  O. Konstantynovskyi,  O.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Boiko</w:t>
            </w:r>
            <w:proofErr w:type="spellEnd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>.</w:t>
            </w:r>
            <w:r w:rsid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IOP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conference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series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materials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science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and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engineering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(ISSN (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online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) 1757-899X, ISSN (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Print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) 1757-8981). IOP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Publishing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, 2021.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Vol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. 1164. 012066 (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Web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of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Science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). DOI: https://doi.org/10.1088/1757-899X/1164/1/012066</w:t>
            </w:r>
          </w:p>
          <w:p w14:paraId="1D39D19B" w14:textId="47D07658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Тимінський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Д.В. Захисні покриття на основі лужного алюмосилікатного зв’язуючого як засіб запобігання транспорту сульфат-іонів в бетоні. Матеріали ІІІ Науково-практичної конференції «Будівлі спеціального призначення: матеріали та конструкції» (22-23 квітня 2021 р.). Київ, 2021. с. 116-117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2358D65A" w14:textId="6CFFC64E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Кривенко П.В.,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Киричок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В.І., Руденко І.І.,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О.П. Стійкість захисного покриття на основі лужного алюмосилікатного зв’язуючого до впливу SO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-місткого середовища. Інноваційні технології в архітектурі і дизайні: Матеріали V Міжнародної науково-практичної конференції. Харків: ХНУБА, 2021. С 362-364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2B678703" w14:textId="7C598202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Вплив технологічних факторів на стійкість шлаколужного бетону до перемінного заморожування і відтавання в розчині NaCl</w:t>
            </w:r>
            <w:r w:rsidR="00EC63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E0AED" w:rsidRP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/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П.</w:t>
            </w:r>
            <w:r w:rsidR="005E0AED" w:rsidRP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В.</w:t>
            </w:r>
            <w:r w:rsidR="005E0AED" w:rsidRP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Кривенко, 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І.</w:t>
            </w:r>
            <w:r w:rsid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І.</w:t>
            </w:r>
            <w:r w:rsid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Руденко,  О.</w:t>
            </w:r>
            <w:r w:rsid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</w:t>
            </w:r>
            <w:r w:rsid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Констатиновський</w:t>
            </w:r>
            <w:proofErr w:type="spellEnd"/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 В.</w:t>
            </w:r>
            <w:r w:rsidR="005E0AED" w:rsidRP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</w:t>
            </w:r>
            <w:r w:rsidR="005E0AED" w:rsidRP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E0AED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Лісогор</w:t>
            </w:r>
            <w:proofErr w:type="spellEnd"/>
            <w:r w:rsidR="005E0AED" w:rsidRPr="005E0AE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 Тези доповідей. Харків: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УкрДУЗТ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2021. С. 231-232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6511B99E" w14:textId="1DFE56E3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Структуроутворення лужного цементу в системі «доменний гранульований шлак – лужний компонент – комплекс добавок – морська вода»</w:t>
            </w:r>
            <w:r w:rsidR="003B7373" w:rsidRP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О.</w:t>
            </w:r>
            <w:r w:rsid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В.</w:t>
            </w:r>
            <w:r w:rsid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Бойко,  О.</w:t>
            </w:r>
            <w:r w:rsid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Ю.</w:t>
            </w:r>
            <w:r w:rsid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Ковальчук,  І.</w:t>
            </w:r>
            <w:r w:rsid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І.</w:t>
            </w:r>
            <w:r w:rsid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Руденко,  О.</w:t>
            </w:r>
            <w:r w:rsidR="003B7373" w:rsidRP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</w:t>
            </w:r>
            <w:r w:rsidR="003B7373" w:rsidRPr="003B73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="003B7373"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Проблеми та перспективи розвитку сучасної науки: збірник тез доповідей Міжнародної науково-практичної конференції молодих науковців, аспірантів і здобувачів вищої освіти, м. Рівне, 13-14 травня 2021 року. Рівне: НУВГП, 2021.C.7-9.</w:t>
            </w:r>
          </w:p>
          <w:p w14:paraId="7B292D9F" w14:textId="0ED51035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Вплив фосфату натрію і нітрату натрію на мікроструктури шлаколужного тіста і властивості армованого бетону під циклічним впливом морської води та висушування </w:t>
            </w:r>
            <w:r w:rsidRPr="009D02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/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П. В. Кривенко, І. І. Руденко, О. П.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О. В. Бойко, D.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Vaičiukynienė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Актуальні проблеми інженерної механіки: Тези доповідей IХ Міжнародної науково-практичної конференції. Загальна редакція - М.Г.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Сур’янінов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Одеса: ОДАБА, 2022. С. 111-114. https://drive.google.com/file/d/19lnjdBGWSkc0LcRGfcd8EK5y22gizdXk/view</w:t>
            </w:r>
          </w:p>
          <w:p w14:paraId="1EDB8C8F" w14:textId="17796471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Роль нітрату натрію в протидії карбонізації пластифікованого шлаколужного бетону в умовах періодичного впливу морської води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/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О. В. Бойко, О. П.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О. Ю. Ковальчук, В. О.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Лісогор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Гідротехнічне і транспортне будівництво: збірник тез міжнародної науково-технічної конференції. Одеса: ОДАБА, 2022. с.13-15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270EEFC9" w14:textId="268251FE" w:rsidR="00F367F1" w:rsidRPr="00F367F1" w:rsidRDefault="00F367F1" w:rsidP="00E94BD1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hanging="4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В., Руденко І.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І.,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Константиновский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П.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Супершвидкотверднучі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шлаколужні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цементи для аварійного відновлення. Органічні і мінеральні в’яжучі та дорожні бетони на їх основі: збірник тез доповідей Міжнародної науково-технічної конференції, 8 - 9 листопада 2022 р., м. Харків. Харків: ФОП </w:t>
            </w:r>
            <w:proofErr w:type="spellStart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Бровін</w:t>
            </w:r>
            <w:proofErr w:type="spellEnd"/>
            <w:r w:rsidRPr="009C639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О.В., 2022. С.80-83.</w:t>
            </w:r>
          </w:p>
          <w:p w14:paraId="047EAE67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F9C8B1D" w14:textId="77777777">
        <w:tc>
          <w:tcPr>
            <w:tcW w:w="6487" w:type="dxa"/>
          </w:tcPr>
          <w:p w14:paraId="7F52128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аудиторних годин на навчальний рік;</w:t>
            </w:r>
          </w:p>
        </w:tc>
        <w:tc>
          <w:tcPr>
            <w:tcW w:w="8505" w:type="dxa"/>
          </w:tcPr>
          <w:p w14:paraId="0A9DB7B0" w14:textId="77777777"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відсутнє</w:t>
            </w:r>
          </w:p>
        </w:tc>
      </w:tr>
      <w:tr w:rsidR="00703B3E" w:rsidRPr="00C84368" w14:paraId="4BBF0AC0" w14:textId="77777777">
        <w:tc>
          <w:tcPr>
            <w:tcW w:w="6487" w:type="dxa"/>
          </w:tcPr>
          <w:p w14:paraId="1391CFDF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5BE06CE9" w14:textId="77777777"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 w14:paraId="035409F4" w14:textId="77777777">
        <w:tc>
          <w:tcPr>
            <w:tcW w:w="6487" w:type="dxa"/>
          </w:tcPr>
          <w:p w14:paraId="7B0C34FF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15)керівництво школярем, який зайняв призове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</w:tcPr>
          <w:p w14:paraId="1E5A2542" w14:textId="77777777" w:rsidR="00703B3E" w:rsidRPr="00C84368" w:rsidRDefault="00D90E25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відсутнє</w:t>
            </w:r>
          </w:p>
        </w:tc>
      </w:tr>
      <w:tr w:rsidR="00703B3E" w:rsidRPr="00C84368" w14:paraId="36FE60ED" w14:textId="77777777">
        <w:tc>
          <w:tcPr>
            <w:tcW w:w="6487" w:type="dxa"/>
          </w:tcPr>
          <w:p w14:paraId="4A0E993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2D1919C5" w14:textId="77777777"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3C0CCA" w14:paraId="2C4D4CEA" w14:textId="77777777">
        <w:tc>
          <w:tcPr>
            <w:tcW w:w="6487" w:type="dxa"/>
          </w:tcPr>
          <w:p w14:paraId="57D92D14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41A32EF5" w14:textId="77777777"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595150" w14:paraId="2235BE3F" w14:textId="77777777">
        <w:tc>
          <w:tcPr>
            <w:tcW w:w="6487" w:type="dxa"/>
          </w:tcPr>
          <w:p w14:paraId="2C8C73AB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233E259D" w14:textId="77777777" w:rsidR="00703B3E" w:rsidRPr="00C84368" w:rsidRDefault="00D90E25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 w14:paraId="28B73FDB" w14:textId="77777777">
        <w:tc>
          <w:tcPr>
            <w:tcW w:w="6487" w:type="dxa"/>
          </w:tcPr>
          <w:p w14:paraId="02D031EF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08185666" w14:textId="77777777" w:rsidR="00703B3E" w:rsidRPr="00C84368" w:rsidRDefault="00D90E25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A84FC2" w14:paraId="653D5707" w14:textId="77777777">
        <w:tc>
          <w:tcPr>
            <w:tcW w:w="6487" w:type="dxa"/>
          </w:tcPr>
          <w:p w14:paraId="191972E4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00596438" w14:textId="77777777" w:rsidR="00986FDA" w:rsidRDefault="00206145" w:rsidP="00986FDA">
            <w:pPr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</w:t>
            </w:r>
            <w:r w:rsidR="00986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</w:t>
            </w:r>
            <w:r w:rsidR="00D90E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талий професійний досвід </w:t>
            </w:r>
            <w:r w:rsidR="00986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більше 20 років при впровадженні розробок на підприємствах;</w:t>
            </w:r>
          </w:p>
          <w:p w14:paraId="006669D7" w14:textId="77777777" w:rsidR="00986FDA" w:rsidRPr="00986FDA" w:rsidRDefault="00986FDA" w:rsidP="00986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 відповідальним виконавцем Випробувальної лабораторії Науково-дослідного інституту в'яжучих речовин та матеріалів КНУБА (атестат акредитації виданий Національним агентством з акредитації України, зареєстрований в Реєстрі за № 20243 від 23.12.2019 р.),</w:t>
            </w:r>
            <w:r w:rsidRPr="00986FD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986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своїх посадових обов’язків є експертом по будівельним матеріалам і виробам за показниками зовнішнього вигляду, геометричних розмірів, експлуатаційних властивостей, зернового складу, дисперсності, міцності, морозостійкості, водонепроникності, вологості, водопоглинання, густини, насипної щільності, пористості, здатності до стирання, усадки.</w:t>
            </w:r>
          </w:p>
          <w:p w14:paraId="73F6FC63" w14:textId="77777777" w:rsidR="00703B3E" w:rsidRPr="00C84368" w:rsidRDefault="00D90E25" w:rsidP="00986FD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7D4087D3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5BA6" w14:textId="77777777" w:rsidR="00963A31" w:rsidRDefault="00963A31" w:rsidP="0065335E">
      <w:pPr>
        <w:spacing w:after="0" w:line="240" w:lineRule="auto"/>
      </w:pPr>
      <w:r>
        <w:separator/>
      </w:r>
    </w:p>
  </w:endnote>
  <w:endnote w:type="continuationSeparator" w:id="0">
    <w:p w14:paraId="1009FFC6" w14:textId="77777777" w:rsidR="00963A31" w:rsidRDefault="00963A3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E333" w14:textId="77777777" w:rsidR="00963A31" w:rsidRDefault="00963A31" w:rsidP="0065335E">
      <w:pPr>
        <w:spacing w:after="0" w:line="240" w:lineRule="auto"/>
      </w:pPr>
      <w:r>
        <w:separator/>
      </w:r>
    </w:p>
  </w:footnote>
  <w:footnote w:type="continuationSeparator" w:id="0">
    <w:p w14:paraId="1242641C" w14:textId="77777777" w:rsidR="00963A31" w:rsidRDefault="00963A31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628"/>
    <w:multiLevelType w:val="hybridMultilevel"/>
    <w:tmpl w:val="A2203364"/>
    <w:lvl w:ilvl="0" w:tplc="C89A3E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3D4B1FDC"/>
    <w:multiLevelType w:val="hybridMultilevel"/>
    <w:tmpl w:val="4F5E3884"/>
    <w:lvl w:ilvl="0" w:tplc="6AD28E5C">
      <w:start w:val="1"/>
      <w:numFmt w:val="decimal"/>
      <w:lvlText w:val="%1."/>
      <w:lvlJc w:val="left"/>
      <w:pPr>
        <w:tabs>
          <w:tab w:val="num" w:pos="240"/>
        </w:tabs>
        <w:ind w:firstLine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419FC"/>
    <w:rsid w:val="000841C0"/>
    <w:rsid w:val="000D1230"/>
    <w:rsid w:val="000E535E"/>
    <w:rsid w:val="00125812"/>
    <w:rsid w:val="00150CDF"/>
    <w:rsid w:val="001D5155"/>
    <w:rsid w:val="00206145"/>
    <w:rsid w:val="002669F1"/>
    <w:rsid w:val="003B7373"/>
    <w:rsid w:val="003C0CCA"/>
    <w:rsid w:val="00455769"/>
    <w:rsid w:val="00583780"/>
    <w:rsid w:val="00595150"/>
    <w:rsid w:val="005C7699"/>
    <w:rsid w:val="005E0AED"/>
    <w:rsid w:val="005E51E1"/>
    <w:rsid w:val="00616124"/>
    <w:rsid w:val="0065335E"/>
    <w:rsid w:val="006C0F76"/>
    <w:rsid w:val="00703B3E"/>
    <w:rsid w:val="007043D3"/>
    <w:rsid w:val="00705599"/>
    <w:rsid w:val="0074175F"/>
    <w:rsid w:val="0078194A"/>
    <w:rsid w:val="007C2D1F"/>
    <w:rsid w:val="00817ACF"/>
    <w:rsid w:val="00823F1E"/>
    <w:rsid w:val="008253F4"/>
    <w:rsid w:val="00880DCB"/>
    <w:rsid w:val="00922FDB"/>
    <w:rsid w:val="0092340D"/>
    <w:rsid w:val="0093579B"/>
    <w:rsid w:val="00963A31"/>
    <w:rsid w:val="00984B12"/>
    <w:rsid w:val="00986FDA"/>
    <w:rsid w:val="009A4D29"/>
    <w:rsid w:val="009F50D1"/>
    <w:rsid w:val="00A01A63"/>
    <w:rsid w:val="00A84FC2"/>
    <w:rsid w:val="00AF0736"/>
    <w:rsid w:val="00B37849"/>
    <w:rsid w:val="00B5188C"/>
    <w:rsid w:val="00B5393E"/>
    <w:rsid w:val="00B62A3B"/>
    <w:rsid w:val="00BC40D9"/>
    <w:rsid w:val="00C84368"/>
    <w:rsid w:val="00CB22BE"/>
    <w:rsid w:val="00D90E25"/>
    <w:rsid w:val="00DC7E63"/>
    <w:rsid w:val="00DE5ADC"/>
    <w:rsid w:val="00E54AE6"/>
    <w:rsid w:val="00E7669C"/>
    <w:rsid w:val="00E94BD1"/>
    <w:rsid w:val="00EC6386"/>
    <w:rsid w:val="00F325BB"/>
    <w:rsid w:val="00F367F1"/>
    <w:rsid w:val="00F702F6"/>
    <w:rsid w:val="00F73316"/>
    <w:rsid w:val="00FA4DDF"/>
    <w:rsid w:val="00FB6CF8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D1E35"/>
  <w15:docId w15:val="{25A362D0-4966-48F8-B7D3-B193B8C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3">
    <w:name w:val="heading 3"/>
    <w:basedOn w:val="a"/>
    <w:next w:val="a"/>
    <w:link w:val="30"/>
    <w:qFormat/>
    <w:locked/>
    <w:rsid w:val="00FA4DDF"/>
    <w:pPr>
      <w:keepNext/>
      <w:tabs>
        <w:tab w:val="left" w:pos="8505"/>
        <w:tab w:val="left" w:pos="8647"/>
      </w:tabs>
      <w:spacing w:after="0" w:line="240" w:lineRule="auto"/>
      <w:ind w:right="-57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FA4DDF"/>
    <w:rPr>
      <w:rFonts w:ascii="Cambria" w:eastAsia="Times New Roman" w:hAnsi="Cambria"/>
      <w:b/>
      <w:bCs/>
      <w:sz w:val="26"/>
      <w:szCs w:val="26"/>
    </w:rPr>
  </w:style>
  <w:style w:type="paragraph" w:styleId="aa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FA4D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FA4DDF"/>
    <w:rPr>
      <w:rFonts w:ascii="Consolas" w:eastAsia="SimSun" w:hAnsi="Consolas" w:cs="Consolas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a"/>
    <w:locked/>
    <w:rsid w:val="00FA4DDF"/>
    <w:rPr>
      <w:rFonts w:ascii="Courier New" w:eastAsia="Times New Roman" w:hAnsi="Courier New"/>
      <w:sz w:val="20"/>
      <w:szCs w:val="20"/>
    </w:rPr>
  </w:style>
  <w:style w:type="character" w:customStyle="1" w:styleId="FontStyle14">
    <w:name w:val="Font Style14"/>
    <w:basedOn w:val="a0"/>
    <w:uiPriority w:val="99"/>
    <w:rsid w:val="00B5188C"/>
    <w:rPr>
      <w:rFonts w:ascii="Times New Roman" w:hAnsi="Times New Roman" w:cs="Times New Roman"/>
      <w:b/>
      <w:bCs/>
      <w:sz w:val="20"/>
      <w:szCs w:val="20"/>
    </w:rPr>
  </w:style>
  <w:style w:type="character" w:customStyle="1" w:styleId="linktext">
    <w:name w:val="link__text"/>
    <w:basedOn w:val="a0"/>
    <w:uiPriority w:val="99"/>
    <w:rsid w:val="00E94BD1"/>
    <w:rPr>
      <w:rFonts w:cs="Times New Roman"/>
    </w:rPr>
  </w:style>
  <w:style w:type="paragraph" w:styleId="ac">
    <w:name w:val="List Paragraph"/>
    <w:basedOn w:val="a"/>
    <w:uiPriority w:val="34"/>
    <w:qFormat/>
    <w:rsid w:val="00E94BD1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23F1E"/>
    <w:rPr>
      <w:color w:val="605E5C"/>
      <w:shd w:val="clear" w:color="auto" w:fill="E1DFDD"/>
    </w:rPr>
  </w:style>
  <w:style w:type="character" w:customStyle="1" w:styleId="FontStyle42">
    <w:name w:val="Font Style42"/>
    <w:rsid w:val="00A84F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505943739" TargetMode="External"/><Relationship Id="rId13" Type="http://schemas.openxmlformats.org/officeDocument/2006/relationships/hyperlink" Target="https://www.scopus.com/authid/detail.uri?authorId=57214219427" TargetMode="External"/><Relationship Id="rId18" Type="http://schemas.openxmlformats.org/officeDocument/2006/relationships/hyperlink" Target="https://www.scopus.com/authid/detail.uri?authorId=271717859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19057662" TargetMode="External"/><Relationship Id="rId7" Type="http://schemas.openxmlformats.org/officeDocument/2006/relationships/hyperlink" Target="https://www.scopus.com/authid/detail.uri?authorId=27171785900" TargetMode="External"/><Relationship Id="rId12" Type="http://schemas.openxmlformats.org/officeDocument/2006/relationships/hyperlink" Target="https://www.scopus.com/authid/detail.uri?authorId=27171785900" TargetMode="External"/><Relationship Id="rId17" Type="http://schemas.openxmlformats.org/officeDocument/2006/relationships/hyperlink" Target="https://www.scopus.com/authid/detail.uri?authorId=271717859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ournals.uran.ua/eejet/article/view/245916" TargetMode="External"/><Relationship Id="rId20" Type="http://schemas.openxmlformats.org/officeDocument/2006/relationships/hyperlink" Target="https://www.scopus.com/authid/detail.uri?authorId=271717859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14907198" TargetMode="External"/><Relationship Id="rId24" Type="http://schemas.openxmlformats.org/officeDocument/2006/relationships/hyperlink" Target="https://www.scopus.com/authid/detail.uri?authorId=572149071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01054604" TargetMode="External"/><Relationship Id="rId23" Type="http://schemas.openxmlformats.org/officeDocument/2006/relationships/hyperlink" Target="https://www.scopus.com/authid/detail.uri?authorId=57201054604" TargetMode="External"/><Relationship Id="rId10" Type="http://schemas.openxmlformats.org/officeDocument/2006/relationships/hyperlink" Target="https://www.scopus.com/authid/detail.uri?authorId=57201054604" TargetMode="External"/><Relationship Id="rId19" Type="http://schemas.openxmlformats.org/officeDocument/2006/relationships/hyperlink" Target="https://www.scopus.com/authid/detail.uri?authorId=57214219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4219427" TargetMode="External"/><Relationship Id="rId14" Type="http://schemas.openxmlformats.org/officeDocument/2006/relationships/hyperlink" Target="https://www.scopus.com/authid/detail.uri?authorId=36797557200" TargetMode="External"/><Relationship Id="rId22" Type="http://schemas.openxmlformats.org/officeDocument/2006/relationships/hyperlink" Target="https://www.scopus.com/authid/detail.uri?authorId=36797557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Kaf Kaf</cp:lastModifiedBy>
  <cp:revision>21</cp:revision>
  <dcterms:created xsi:type="dcterms:W3CDTF">2023-01-04T16:48:00Z</dcterms:created>
  <dcterms:modified xsi:type="dcterms:W3CDTF">2023-01-04T18:16:00Z</dcterms:modified>
</cp:coreProperties>
</file>