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820"/>
        </w:tabs>
        <w:rPr>
          <w:b/>
          <w:sz w:val="28"/>
          <w:szCs w:val="28"/>
          <w:lang w:val="ru-RU"/>
        </w:rPr>
      </w:pPr>
      <w:r>
        <w:rPr>
          <w:b/>
          <w:lang w:val="ru-RU"/>
        </w:rPr>
        <w:tab/>
      </w:r>
    </w:p>
    <w:tbl>
      <w:tblPr>
        <w:tblStyle w:val="3"/>
        <w:tblW w:w="9431" w:type="dxa"/>
        <w:tblInd w:w="108" w:type="dxa"/>
        <w:tblLayout w:type="autofit"/>
        <w:tblCellMar>
          <w:top w:w="0" w:type="dxa"/>
          <w:left w:w="108" w:type="dxa"/>
          <w:bottom w:w="0" w:type="dxa"/>
          <w:right w:w="108" w:type="dxa"/>
        </w:tblCellMar>
      </w:tblPr>
      <w:tblGrid>
        <w:gridCol w:w="6737"/>
        <w:gridCol w:w="2694"/>
      </w:tblGrid>
      <w:tr>
        <w:tblPrEx>
          <w:tblCellMar>
            <w:top w:w="0" w:type="dxa"/>
            <w:left w:w="108" w:type="dxa"/>
            <w:bottom w:w="0" w:type="dxa"/>
            <w:right w:w="108" w:type="dxa"/>
          </w:tblCellMar>
        </w:tblPrEx>
        <w:trPr>
          <w:trHeight w:val="3000" w:hRule="atLeast"/>
        </w:trPr>
        <w:tc>
          <w:tcPr>
            <w:tcW w:w="6737" w:type="dxa"/>
          </w:tcPr>
          <w:p>
            <w:pPr>
              <w:ind w:left="-108"/>
              <w:rPr>
                <w:b/>
                <w:sz w:val="24"/>
                <w:szCs w:val="24"/>
                <w:lang w:val="uk-UA"/>
              </w:rPr>
            </w:pPr>
            <w:r>
              <w:rPr>
                <w:b/>
                <w:sz w:val="24"/>
                <w:szCs w:val="24"/>
                <w:lang w:val="uk-UA"/>
              </w:rPr>
              <w:t>«Затверджую»</w:t>
            </w:r>
          </w:p>
          <w:p>
            <w:pPr>
              <w:ind w:left="-108"/>
              <w:rPr>
                <w:sz w:val="24"/>
                <w:szCs w:val="24"/>
                <w:lang w:val="uk-UA"/>
              </w:rPr>
            </w:pPr>
          </w:p>
          <w:p>
            <w:pPr>
              <w:ind w:left="-108"/>
              <w:rPr>
                <w:sz w:val="24"/>
                <w:szCs w:val="24"/>
                <w:lang w:val="uk-UA"/>
              </w:rPr>
            </w:pPr>
            <w:r>
              <w:rPr>
                <w:sz w:val="24"/>
                <w:szCs w:val="24"/>
                <w:lang w:val="uk-UA"/>
              </w:rPr>
              <w:t xml:space="preserve">Завідувач кафедри інформаційних технологій </w:t>
            </w:r>
          </w:p>
          <w:p>
            <w:pPr>
              <w:ind w:left="-108"/>
              <w:rPr>
                <w:sz w:val="24"/>
                <w:szCs w:val="24"/>
                <w:lang w:val="uk-UA"/>
              </w:rPr>
            </w:pPr>
            <w:r>
              <w:rPr>
                <w:sz w:val="24"/>
                <w:szCs w:val="24"/>
                <w:lang w:val="uk-UA"/>
              </w:rPr>
              <w:t>проєктування та прикладної математики</w:t>
            </w:r>
          </w:p>
          <w:p>
            <w:pPr>
              <w:ind w:left="-108"/>
              <w:rPr>
                <w:i/>
                <w:sz w:val="24"/>
                <w:szCs w:val="24"/>
                <w:lang w:val="uk-UA"/>
              </w:rPr>
            </w:pPr>
            <w:r>
              <w:rPr>
                <w:sz w:val="24"/>
                <w:szCs w:val="24"/>
                <w:lang w:val="uk-UA"/>
              </w:rPr>
              <w:t>___________________    /</w:t>
            </w:r>
            <w:r>
              <w:rPr>
                <w:sz w:val="24"/>
                <w:szCs w:val="24"/>
                <w:lang w:val="ru-RU"/>
              </w:rPr>
              <w:t>Теренть</w:t>
            </w:r>
            <w:r>
              <w:rPr>
                <w:sz w:val="24"/>
                <w:szCs w:val="24"/>
                <w:lang w:val="uk-UA"/>
              </w:rPr>
              <w:t>єв О.О./</w:t>
            </w:r>
          </w:p>
          <w:p>
            <w:pPr>
              <w:ind w:left="-108"/>
              <w:rPr>
                <w:sz w:val="24"/>
                <w:szCs w:val="24"/>
                <w:lang w:val="uk-UA"/>
              </w:rPr>
            </w:pPr>
            <w:r>
              <w:rPr>
                <w:sz w:val="24"/>
                <w:szCs w:val="24"/>
                <w:lang w:val="uk-UA"/>
              </w:rPr>
              <w:t>«____» ____________20__ р.</w:t>
            </w:r>
          </w:p>
          <w:p>
            <w:pPr>
              <w:ind w:left="-108"/>
              <w:rPr>
                <w:sz w:val="24"/>
                <w:szCs w:val="24"/>
                <w:lang w:val="uk-UA"/>
              </w:rPr>
            </w:pPr>
            <w:r>
              <w:rPr>
                <w:sz w:val="24"/>
                <w:szCs w:val="24"/>
                <w:lang w:val="uk-UA"/>
              </w:rPr>
              <w:t>Розробник силабусу</w:t>
            </w:r>
          </w:p>
          <w:p>
            <w:pPr>
              <w:ind w:left="-108"/>
              <w:rPr>
                <w:i/>
                <w:sz w:val="24"/>
                <w:szCs w:val="24"/>
                <w:lang w:val="uk-UA"/>
              </w:rPr>
            </w:pPr>
            <w:r>
              <w:rPr>
                <w:sz w:val="24"/>
                <w:szCs w:val="24"/>
                <w:lang w:val="uk-UA"/>
              </w:rPr>
              <w:t>____________________  /</w:t>
            </w:r>
            <w:r>
              <w:rPr>
                <w:sz w:val="24"/>
                <w:szCs w:val="24"/>
                <w:lang w:val="ru-RU"/>
              </w:rPr>
              <w:t>Доля О.</w:t>
            </w:r>
            <w:r>
              <w:rPr>
                <w:sz w:val="24"/>
                <w:szCs w:val="24"/>
                <w:lang w:val="uk-UA"/>
              </w:rPr>
              <w:t xml:space="preserve">В. </w:t>
            </w:r>
          </w:p>
          <w:p>
            <w:pPr>
              <w:ind w:left="-108"/>
              <w:rPr>
                <w:b/>
                <w:lang w:val="uk-UA"/>
              </w:rPr>
            </w:pPr>
          </w:p>
        </w:tc>
        <w:tc>
          <w:tcPr>
            <w:tcW w:w="2694" w:type="dxa"/>
          </w:tcPr>
          <w:p>
            <w:pPr>
              <w:jc w:val="center"/>
              <w:rPr>
                <w:b/>
                <w:lang w:val="uk-UA"/>
              </w:rPr>
            </w:pPr>
          </w:p>
          <w:p>
            <w:pPr>
              <w:jc w:val="center"/>
              <w:rPr>
                <w:b/>
                <w:lang w:val="uk-UA"/>
              </w:rPr>
            </w:pPr>
            <w:r>
              <w:rPr>
                <w:lang w:val="ru-RU" w:eastAsia="ru-RU"/>
              </w:rPr>
              <w:drawing>
                <wp:inline distT="0" distB="0" distL="0" distR="0">
                  <wp:extent cx="1419225" cy="1800225"/>
                  <wp:effectExtent l="0" t="0" r="9525" b="9525"/>
                  <wp:docPr id="5" name="Рисунок 5" descr="Описание: LogoKNUB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descr="Описание: LogoKNUBA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419225" cy="1800225"/>
                          </a:xfrm>
                          <a:prstGeom prst="rect">
                            <a:avLst/>
                          </a:prstGeom>
                          <a:noFill/>
                          <a:ln>
                            <a:noFill/>
                          </a:ln>
                        </pic:spPr>
                      </pic:pic>
                    </a:graphicData>
                  </a:graphic>
                </wp:inline>
              </w:drawing>
            </w:r>
          </w:p>
        </w:tc>
      </w:tr>
    </w:tbl>
    <w:p>
      <w:pPr>
        <w:jc w:val="center"/>
        <w:rPr>
          <w:b/>
          <w:sz w:val="28"/>
          <w:szCs w:val="28"/>
          <w:lang w:val="uk-UA"/>
        </w:rPr>
      </w:pPr>
    </w:p>
    <w:p>
      <w:pPr>
        <w:jc w:val="center"/>
        <w:rPr>
          <w:b/>
          <w:sz w:val="28"/>
          <w:szCs w:val="28"/>
          <w:lang w:val="ru-RU"/>
        </w:rPr>
      </w:pPr>
      <w:r>
        <w:rPr>
          <w:b/>
          <w:sz w:val="28"/>
          <w:szCs w:val="28"/>
          <w:lang w:val="ru-RU"/>
        </w:rPr>
        <w:t>СИЛАБУС</w:t>
      </w:r>
    </w:p>
    <w:p>
      <w:pPr>
        <w:jc w:val="center"/>
        <w:rPr>
          <w:b/>
          <w:sz w:val="32"/>
          <w:szCs w:val="32"/>
          <w:u w:val="single"/>
          <w:lang w:val="ru-RU"/>
        </w:rPr>
      </w:pPr>
      <w:r>
        <w:rPr>
          <w:b/>
          <w:sz w:val="32"/>
          <w:szCs w:val="32"/>
          <w:u w:val="single"/>
          <w:lang w:val="ru-RU"/>
        </w:rPr>
        <w:t>Вища математика</w:t>
      </w:r>
    </w:p>
    <w:p>
      <w:pPr>
        <w:jc w:val="center"/>
        <w:rPr>
          <w:b/>
          <w:sz w:val="28"/>
          <w:szCs w:val="28"/>
          <w:lang w:val="ru-RU"/>
        </w:rPr>
      </w:pPr>
    </w:p>
    <w:p>
      <w:pPr>
        <w:rPr>
          <w:sz w:val="28"/>
          <w:lang w:val="ru-RU"/>
        </w:rPr>
      </w:pP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815"/>
        <w:gridCol w:w="143"/>
        <w:gridCol w:w="1774"/>
        <w:gridCol w:w="1134"/>
        <w:gridCol w:w="1449"/>
        <w:gridCol w:w="149"/>
        <w:gridCol w:w="1740"/>
        <w:gridCol w:w="377"/>
        <w:gridCol w:w="929"/>
        <w:gridCol w:w="203"/>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5000" w:type="pct"/>
            <w:gridSpan w:val="11"/>
            <w:tcBorders>
              <w:top w:val="single" w:color="auto" w:sz="4" w:space="0"/>
              <w:left w:val="single" w:color="auto" w:sz="4" w:space="0"/>
              <w:bottom w:val="single" w:color="auto" w:sz="4" w:space="0"/>
              <w:right w:val="single" w:color="auto" w:sz="4" w:space="0"/>
            </w:tcBorders>
          </w:tcPr>
          <w:p>
            <w:pPr>
              <w:spacing w:before="40" w:after="40"/>
              <w:ind w:left="227" w:hanging="227"/>
              <w:rPr>
                <w:b/>
                <w:caps/>
                <w:lang w:val="uk-UA"/>
              </w:rPr>
            </w:pPr>
            <w:r>
              <w:rPr>
                <w:b/>
                <w:bCs/>
              </w:rPr>
              <w:fldChar w:fldCharType="begin"/>
            </w:r>
            <w:r>
              <w:rPr>
                <w:b/>
                <w:bCs/>
              </w:rPr>
              <w:instrText xml:space="preserve"> LISTNUM  NumeracjaDomyślna \s 01 </w:instrText>
            </w:r>
            <w:r>
              <w:rPr>
                <w:b/>
                <w:bCs/>
              </w:rPr>
              <w:fldChar w:fldCharType="end"/>
            </w:r>
            <w:r>
              <w:rPr>
                <w:b/>
              </w:rPr>
              <w:tab/>
            </w:r>
            <w:r>
              <w:rPr>
                <w:b/>
                <w:lang w:val="uk-UA"/>
              </w:rPr>
              <w:t xml:space="preserve">Шифр за ОП:    </w:t>
            </w:r>
            <w:r>
              <w:rPr>
                <w:lang w:val="uk-UA"/>
              </w:rPr>
              <w:t xml:space="preserve">ОК </w:t>
            </w:r>
            <w:r>
              <w:rPr>
                <w:lang w:val="en-US"/>
              </w:rPr>
              <w:t>09</w:t>
            </w:r>
            <w:r>
              <w:rPr>
                <w:lang w:val="uk-UA"/>
              </w:rPr>
              <w:t xml:space="preserve">  </w:t>
            </w:r>
            <w:r>
              <w:rPr>
                <w:b/>
                <w:lang w:val="uk-U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5000" w:type="pct"/>
            <w:gridSpan w:val="11"/>
            <w:tcBorders>
              <w:top w:val="single" w:color="auto" w:sz="4" w:space="0"/>
              <w:left w:val="single" w:color="auto" w:sz="4" w:space="0"/>
              <w:bottom w:val="single" w:color="auto" w:sz="4" w:space="0"/>
              <w:right w:val="single" w:color="auto" w:sz="4" w:space="0"/>
            </w:tcBorders>
          </w:tcPr>
          <w:p>
            <w:pPr>
              <w:pStyle w:val="18"/>
              <w:spacing w:before="40" w:after="40"/>
              <w:ind w:left="227" w:hanging="227"/>
              <w:rPr>
                <w:rFonts w:hint="default"/>
                <w:sz w:val="20"/>
                <w:lang w:val="ru-RU"/>
              </w:rPr>
            </w:pPr>
            <w:r>
              <w:rPr>
                <w:b/>
                <w:bCs/>
                <w:sz w:val="20"/>
              </w:rPr>
              <w:fldChar w:fldCharType="begin"/>
            </w:r>
            <w:r>
              <w:rPr>
                <w:b/>
                <w:bCs/>
                <w:sz w:val="20"/>
                <w:lang w:val="ru-RU"/>
              </w:rPr>
              <w:instrText xml:space="preserve"> </w:instrText>
            </w:r>
            <w:r>
              <w:rPr>
                <w:b/>
                <w:bCs/>
                <w:sz w:val="20"/>
              </w:rPr>
              <w:instrText xml:space="preserve">LISTNUM</w:instrText>
            </w:r>
            <w:r>
              <w:rPr>
                <w:b/>
                <w:bCs/>
                <w:sz w:val="20"/>
                <w:lang w:val="ru-RU"/>
              </w:rPr>
              <w:instrText xml:space="preserve">  </w:instrText>
            </w:r>
            <w:r>
              <w:rPr>
                <w:b/>
                <w:bCs/>
                <w:sz w:val="20"/>
              </w:rPr>
              <w:instrText xml:space="preserve">NumeracjaDomy</w:instrText>
            </w:r>
            <w:r>
              <w:rPr>
                <w:b/>
                <w:bCs/>
                <w:sz w:val="20"/>
                <w:lang w:val="ru-RU"/>
              </w:rPr>
              <w:instrText xml:space="preserve">ś</w:instrText>
            </w:r>
            <w:r>
              <w:rPr>
                <w:b/>
                <w:bCs/>
                <w:sz w:val="20"/>
              </w:rPr>
              <w:instrText xml:space="preserve">lna</w:instrText>
            </w:r>
            <w:r>
              <w:rPr>
                <w:b/>
                <w:bCs/>
                <w:sz w:val="20"/>
              </w:rPr>
              <w:fldChar w:fldCharType="end"/>
            </w:r>
            <w:r>
              <w:rPr>
                <w:b/>
                <w:sz w:val="20"/>
                <w:lang w:val="ru-RU"/>
              </w:rPr>
              <w:tab/>
            </w:r>
            <w:r>
              <w:rPr>
                <w:b/>
                <w:sz w:val="20"/>
                <w:lang w:val="uk-UA"/>
              </w:rPr>
              <w:t>Навчальний рік:</w:t>
            </w:r>
            <w:r>
              <w:rPr>
                <w:sz w:val="20"/>
                <w:lang w:val="ru-RU"/>
              </w:rPr>
              <w:t xml:space="preserve"> </w:t>
            </w:r>
            <w:r>
              <w:rPr>
                <w:sz w:val="20"/>
                <w:lang w:val="uk-UA"/>
              </w:rPr>
              <w:t>202</w:t>
            </w:r>
            <w:r>
              <w:rPr>
                <w:rFonts w:hint="default"/>
                <w:sz w:val="20"/>
                <w:lang w:val="ru-RU"/>
              </w:rPr>
              <w:t>2</w:t>
            </w:r>
            <w:r>
              <w:rPr>
                <w:sz w:val="20"/>
                <w:lang w:val="uk-UA"/>
              </w:rPr>
              <w:t>/202</w:t>
            </w:r>
            <w:r>
              <w:rPr>
                <w:rFonts w:hint="default"/>
                <w:sz w:val="20"/>
                <w:lang w:val="ru-RU"/>
              </w:rPr>
              <w:t>3</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5000" w:type="pct"/>
            <w:gridSpan w:val="11"/>
            <w:tcBorders>
              <w:top w:val="single" w:color="auto" w:sz="4" w:space="0"/>
              <w:left w:val="single" w:color="auto" w:sz="4" w:space="0"/>
              <w:bottom w:val="single" w:color="auto" w:sz="4" w:space="0"/>
              <w:right w:val="single" w:color="auto" w:sz="4" w:space="0"/>
            </w:tcBorders>
          </w:tcPr>
          <w:p>
            <w:pPr>
              <w:pStyle w:val="18"/>
              <w:spacing w:before="40" w:after="40"/>
              <w:ind w:left="227" w:hanging="227"/>
              <w:rPr>
                <w:sz w:val="20"/>
                <w:lang w:val="uk-UA"/>
              </w:rPr>
            </w:pPr>
            <w:r>
              <w:rPr>
                <w:b/>
                <w:bCs/>
                <w:sz w:val="20"/>
              </w:rPr>
              <w:fldChar w:fldCharType="begin"/>
            </w:r>
            <w:r>
              <w:rPr>
                <w:b/>
                <w:bCs/>
                <w:sz w:val="20"/>
                <w:lang w:val="ru-RU"/>
              </w:rPr>
              <w:instrText xml:space="preserve"> </w:instrText>
            </w:r>
            <w:r>
              <w:rPr>
                <w:b/>
                <w:bCs/>
                <w:sz w:val="20"/>
              </w:rPr>
              <w:instrText xml:space="preserve">LISTNUM</w:instrText>
            </w:r>
            <w:r>
              <w:rPr>
                <w:b/>
                <w:bCs/>
                <w:sz w:val="20"/>
                <w:lang w:val="ru-RU"/>
              </w:rPr>
              <w:instrText xml:space="preserve">  </w:instrText>
            </w:r>
            <w:r>
              <w:rPr>
                <w:b/>
                <w:bCs/>
                <w:sz w:val="20"/>
              </w:rPr>
              <w:instrText xml:space="preserve">NumeracjaDomy</w:instrText>
            </w:r>
            <w:r>
              <w:rPr>
                <w:b/>
                <w:bCs/>
                <w:sz w:val="20"/>
                <w:lang w:val="ru-RU"/>
              </w:rPr>
              <w:instrText xml:space="preserve">ś</w:instrText>
            </w:r>
            <w:r>
              <w:rPr>
                <w:b/>
                <w:bCs/>
                <w:sz w:val="20"/>
              </w:rPr>
              <w:instrText xml:space="preserve">lna</w:instrText>
            </w:r>
            <w:r>
              <w:rPr>
                <w:b/>
                <w:bCs/>
                <w:sz w:val="20"/>
              </w:rPr>
              <w:fldChar w:fldCharType="end"/>
            </w:r>
            <w:r>
              <w:rPr>
                <w:b/>
                <w:sz w:val="20"/>
                <w:lang w:val="ru-RU"/>
              </w:rPr>
              <w:t xml:space="preserve"> </w:t>
            </w:r>
            <w:r>
              <w:rPr>
                <w:b/>
                <w:sz w:val="20"/>
                <w:lang w:val="uk-UA"/>
              </w:rPr>
              <w:t>О</w:t>
            </w:r>
            <w:r>
              <w:rPr>
                <w:b/>
                <w:sz w:val="20"/>
                <w:lang w:val="ru-RU"/>
              </w:rPr>
              <w:t>світній рівень</w:t>
            </w:r>
            <w:r>
              <w:rPr>
                <w:b/>
                <w:sz w:val="20"/>
                <w:lang w:val="uk-UA"/>
              </w:rPr>
              <w:t xml:space="preserve">: </w:t>
            </w:r>
            <w:r>
              <w:rPr>
                <w:sz w:val="20"/>
                <w:lang w:val="uk-UA"/>
              </w:rPr>
              <w:t xml:space="preserve"> перший рівень вищої освіти (бакалавр)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6" w:hRule="atLeast"/>
        </w:trPr>
        <w:tc>
          <w:tcPr>
            <w:tcW w:w="5000" w:type="pct"/>
            <w:gridSpan w:val="11"/>
            <w:tcBorders>
              <w:top w:val="single" w:color="auto" w:sz="4" w:space="0"/>
              <w:left w:val="single" w:color="auto" w:sz="4" w:space="0"/>
              <w:bottom w:val="single" w:color="auto" w:sz="4" w:space="0"/>
              <w:right w:val="single" w:color="auto" w:sz="4" w:space="0"/>
            </w:tcBorders>
          </w:tcPr>
          <w:p>
            <w:pPr>
              <w:tabs>
                <w:tab w:val="left" w:pos="3049"/>
              </w:tabs>
              <w:spacing w:before="40" w:after="40"/>
              <w:ind w:left="227" w:hanging="227"/>
              <w:rPr>
                <w:caps/>
                <w:lang w:val="uk-UA"/>
              </w:rPr>
            </w:pPr>
            <w:r>
              <w:rPr>
                <w:b/>
                <w:bCs/>
              </w:rPr>
              <w:fldChar w:fldCharType="begin"/>
            </w:r>
            <w:r>
              <w:rPr>
                <w:b/>
                <w:bCs/>
              </w:rPr>
              <w:instrText xml:space="preserve"> LISTNUM  NumeracjaDomyślna</w:instrText>
            </w:r>
            <w:r>
              <w:rPr>
                <w:b/>
                <w:bCs/>
              </w:rPr>
              <w:fldChar w:fldCharType="end"/>
            </w:r>
            <w:r>
              <w:rPr>
                <w:b/>
              </w:rPr>
              <w:tab/>
            </w:r>
            <w:r>
              <w:rPr>
                <w:b/>
                <w:lang w:val="uk-UA"/>
              </w:rPr>
              <w:t>Форма навчання:</w:t>
            </w:r>
            <w:r>
              <w:rPr>
                <w:lang w:val="uk-UA"/>
              </w:rPr>
              <w:t xml:space="preserve"> денна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5000" w:type="pct"/>
            <w:gridSpan w:val="11"/>
            <w:tcBorders>
              <w:top w:val="single" w:color="auto" w:sz="4" w:space="0"/>
              <w:left w:val="single" w:color="auto" w:sz="4" w:space="0"/>
              <w:bottom w:val="single" w:color="auto" w:sz="4" w:space="0"/>
              <w:right w:val="single" w:color="auto" w:sz="4" w:space="0"/>
            </w:tcBorders>
          </w:tcPr>
          <w:p>
            <w:pPr>
              <w:tabs>
                <w:tab w:val="right" w:pos="9639"/>
              </w:tabs>
              <w:spacing w:before="40" w:after="40"/>
              <w:ind w:left="227" w:hanging="227"/>
              <w:rPr>
                <w:caps/>
                <w:lang w:val="uk-UA"/>
              </w:rPr>
            </w:pPr>
            <w:r>
              <w:rPr>
                <w:b/>
                <w:bCs/>
              </w:rPr>
              <w:fldChar w:fldCharType="begin"/>
            </w:r>
            <w:r>
              <w:rPr>
                <w:b/>
                <w:bCs/>
              </w:rPr>
              <w:instrText xml:space="preserve"> LISTNUM  NumeracjaDomyślna</w:instrText>
            </w:r>
            <w:r>
              <w:rPr>
                <w:b/>
                <w:bCs/>
              </w:rPr>
              <w:fldChar w:fldCharType="end"/>
            </w:r>
            <w:r>
              <w:rPr>
                <w:b/>
              </w:rPr>
              <w:tab/>
            </w:r>
            <w:r>
              <w:rPr>
                <w:b/>
                <w:lang w:val="uk-UA"/>
              </w:rPr>
              <w:t>Галузь знань</w:t>
            </w:r>
            <w:r>
              <w:rPr>
                <w:caps/>
              </w:rPr>
              <w:t xml:space="preserve">: </w:t>
            </w:r>
            <w:r>
              <w:rPr>
                <w:caps/>
                <w:lang w:val="uk-UA"/>
              </w:rPr>
              <w:t>01 «</w:t>
            </w:r>
            <w:r>
              <w:rPr>
                <w:lang w:val="ru-RU"/>
              </w:rPr>
              <w:t>Осв</w:t>
            </w:r>
            <w:r>
              <w:rPr>
                <w:lang w:val="uk-UA"/>
              </w:rPr>
              <w:t>і</w:t>
            </w:r>
            <w:r>
              <w:rPr>
                <w:lang w:val="ru-RU"/>
              </w:rPr>
              <w:t>та/Педагогіка</w:t>
            </w:r>
            <w:r>
              <w:rPr>
                <w:caps/>
                <w:lang w:val="uk-U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5000" w:type="pct"/>
            <w:gridSpan w:val="11"/>
            <w:tcBorders>
              <w:top w:val="single" w:color="auto" w:sz="4" w:space="0"/>
              <w:left w:val="single" w:color="auto" w:sz="4" w:space="0"/>
              <w:bottom w:val="single" w:color="auto" w:sz="4" w:space="0"/>
              <w:right w:val="single" w:color="auto" w:sz="4" w:space="0"/>
            </w:tcBorders>
          </w:tcPr>
          <w:p>
            <w:pPr>
              <w:tabs>
                <w:tab w:val="left" w:pos="1910"/>
                <w:tab w:val="left" w:pos="3049"/>
              </w:tabs>
              <w:spacing w:before="40" w:after="40"/>
              <w:ind w:left="227" w:hanging="227"/>
              <w:rPr>
                <w:lang w:val="uk-UA"/>
              </w:rPr>
            </w:pPr>
            <w:r>
              <w:rPr>
                <w:b/>
                <w:bCs/>
              </w:rPr>
              <w:fldChar w:fldCharType="begin"/>
            </w:r>
            <w:r>
              <w:rPr>
                <w:b/>
                <w:bCs/>
              </w:rPr>
              <w:instrText xml:space="preserve"> LISTNUM  NumeracjaDomyślna</w:instrText>
            </w:r>
            <w:r>
              <w:rPr>
                <w:b/>
                <w:bCs/>
              </w:rPr>
              <w:fldChar w:fldCharType="end"/>
            </w:r>
            <w:r>
              <w:rPr>
                <w:b/>
              </w:rPr>
              <w:tab/>
            </w:r>
            <w:r>
              <w:rPr>
                <w:b/>
                <w:lang w:val="uk-UA"/>
              </w:rPr>
              <w:t xml:space="preserve">Спеціальність:  </w:t>
            </w:r>
            <w:r>
              <w:rPr>
                <w:lang w:val="uk-UA"/>
              </w:rPr>
              <w:t>015.34 "Професійна освіта. Машинобудування"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5000" w:type="pct"/>
            <w:gridSpan w:val="11"/>
            <w:tcBorders>
              <w:top w:val="single" w:color="auto" w:sz="4" w:space="0"/>
              <w:left w:val="single" w:color="auto" w:sz="4" w:space="0"/>
              <w:bottom w:val="single" w:color="auto" w:sz="4" w:space="0"/>
              <w:right w:val="single" w:color="auto" w:sz="4" w:space="0"/>
            </w:tcBorders>
          </w:tcPr>
          <w:p>
            <w:pPr>
              <w:tabs>
                <w:tab w:val="left" w:pos="3049"/>
              </w:tabs>
              <w:spacing w:before="40" w:after="40"/>
              <w:ind w:left="227" w:hanging="227"/>
              <w:rPr>
                <w:lang w:val="uk-UA"/>
              </w:rPr>
            </w:pPr>
            <w:r>
              <w:rPr>
                <w:b/>
                <w:bCs/>
                <w:lang w:val="uk-UA"/>
              </w:rPr>
              <w:t>8) Статус овітньої програми</w:t>
            </w:r>
            <w:r>
              <w:rPr>
                <w:b/>
              </w:rPr>
              <w:t>:</w:t>
            </w:r>
            <w:r>
              <w:t xml:space="preserve"> </w:t>
            </w:r>
            <w:r>
              <w:rPr>
                <w:lang w:val="uk-UA"/>
              </w:rPr>
              <w:t>обов</w:t>
            </w:r>
            <w:r>
              <w:t>’</w:t>
            </w:r>
            <w:r>
              <w:rPr>
                <w:lang w:val="uk-UA"/>
              </w:rPr>
              <w:t xml:space="preserve">язкова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5000" w:type="pct"/>
            <w:gridSpan w:val="11"/>
            <w:tcBorders>
              <w:top w:val="single" w:color="auto" w:sz="4" w:space="0"/>
              <w:left w:val="single" w:color="auto" w:sz="4" w:space="0"/>
              <w:bottom w:val="single" w:color="auto" w:sz="4" w:space="0"/>
              <w:right w:val="single" w:color="auto" w:sz="4" w:space="0"/>
            </w:tcBorders>
          </w:tcPr>
          <w:p>
            <w:pPr>
              <w:tabs>
                <w:tab w:val="left" w:pos="3049"/>
              </w:tabs>
              <w:spacing w:before="40" w:after="40"/>
              <w:ind w:left="227" w:hanging="227"/>
              <w:rPr>
                <w:lang w:val="uk-UA"/>
              </w:rPr>
            </w:pPr>
            <w:r>
              <w:rPr>
                <w:b/>
                <w:bCs/>
                <w:lang w:val="uk-UA"/>
              </w:rPr>
              <w:t>9)</w:t>
            </w:r>
            <w:r>
              <w:rPr>
                <w:b/>
              </w:rPr>
              <w:tab/>
            </w:r>
            <w:r>
              <w:rPr>
                <w:b/>
                <w:lang w:val="uk-UA"/>
              </w:rPr>
              <w:t>Семестр</w:t>
            </w:r>
            <w:r>
              <w:rPr>
                <w:b/>
              </w:rPr>
              <w:t xml:space="preserve">: </w:t>
            </w:r>
            <w:r>
              <w:rPr>
                <w:b/>
                <w:lang w:val="uk-UA"/>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5000" w:type="pct"/>
            <w:gridSpan w:val="11"/>
            <w:tcBorders>
              <w:top w:val="single" w:color="auto" w:sz="4" w:space="0"/>
              <w:left w:val="single" w:color="auto" w:sz="4" w:space="0"/>
              <w:bottom w:val="single" w:color="auto" w:sz="4" w:space="0"/>
              <w:right w:val="single" w:color="auto" w:sz="4" w:space="0"/>
            </w:tcBorders>
          </w:tcPr>
          <w:p>
            <w:pPr>
              <w:spacing w:before="40" w:after="40"/>
              <w:ind w:left="360" w:hanging="360"/>
              <w:rPr>
                <w:lang w:val="uk-UA"/>
              </w:rPr>
            </w:pPr>
            <w:r>
              <w:rPr>
                <w:b/>
                <w:lang w:val="uk-UA"/>
              </w:rPr>
              <w:t>10) Цикл дисципліни</w:t>
            </w:r>
            <w:r>
              <w:rPr>
                <w:b/>
              </w:rPr>
              <w:t>:</w:t>
            </w:r>
            <w:r>
              <w:t xml:space="preserve"> </w:t>
            </w:r>
            <w:r>
              <w:rPr>
                <w:lang w:val="uk-UA"/>
              </w:rPr>
              <w:t>обов</w:t>
            </w:r>
            <w:r>
              <w:t>`</w:t>
            </w:r>
            <w:r>
              <w:rPr>
                <w:lang w:val="uk-UA"/>
              </w:rPr>
              <w:t>язкова компонента ОП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5000" w:type="pct"/>
            <w:gridSpan w:val="11"/>
            <w:tcBorders>
              <w:top w:val="single" w:color="auto" w:sz="4" w:space="0"/>
              <w:left w:val="single" w:color="auto" w:sz="4" w:space="0"/>
              <w:bottom w:val="single" w:color="auto" w:sz="4" w:space="0"/>
              <w:right w:val="single" w:color="auto" w:sz="4" w:space="0"/>
            </w:tcBorders>
          </w:tcPr>
          <w:p>
            <w:pPr>
              <w:spacing w:before="40" w:after="40"/>
              <w:ind w:left="360" w:hanging="360"/>
              <w:rPr>
                <w:lang w:val="uk-UA"/>
              </w:rPr>
            </w:pPr>
            <w:r>
              <w:rPr>
                <w:b/>
                <w:bCs/>
                <w:lang w:val="uk-UA"/>
              </w:rPr>
              <w:t>11)</w:t>
            </w:r>
            <w:r>
              <w:rPr>
                <w:b/>
              </w:rPr>
              <w:tab/>
            </w:r>
            <w:r>
              <w:rPr>
                <w:b/>
                <w:lang w:val="uk-UA"/>
              </w:rPr>
              <w:t xml:space="preserve">Викладач (розробник карти): </w:t>
            </w:r>
            <w:r>
              <w:rPr>
                <w:lang w:val="uk-UA"/>
              </w:rPr>
              <w:t xml:space="preserve">доцент, к.ф-м.н. Доля О.В., </w:t>
            </w:r>
            <w:r>
              <w:fldChar w:fldCharType="begin"/>
            </w:r>
            <w:r>
              <w:instrText xml:space="preserve"> HYPERLINK "mailto:dolia.ov@knuba.edu.ua" </w:instrText>
            </w:r>
            <w:r>
              <w:fldChar w:fldCharType="separate"/>
            </w:r>
            <w:r>
              <w:rPr>
                <w:color w:val="0000FF"/>
                <w:u w:val="single"/>
              </w:rPr>
              <w:t>dolia.ov@knuba.edu.ua</w:t>
            </w:r>
            <w:r>
              <w:rPr>
                <w:color w:val="0000FF"/>
                <w:u w:val="single"/>
              </w:rPr>
              <w:fldChar w:fldCharType="end"/>
            </w:r>
            <w:r>
              <w:t xml:space="preserve">, </w:t>
            </w:r>
            <w:r>
              <w:fldChar w:fldCharType="begin"/>
            </w:r>
            <w:r>
              <w:instrText xml:space="preserve"> HYPERLINK "mailto:elena_367@ukr.net" </w:instrText>
            </w:r>
            <w:r>
              <w:fldChar w:fldCharType="separate"/>
            </w:r>
            <w:r>
              <w:rPr>
                <w:color w:val="0000FF"/>
                <w:u w:val="single"/>
              </w:rPr>
              <w:t>elena_367@ukr.net</w:t>
            </w:r>
            <w:r>
              <w:rPr>
                <w:color w:val="0000FF"/>
                <w:u w:val="single"/>
              </w:rPr>
              <w:fldChar w:fldCharType="end"/>
            </w:r>
            <w:r>
              <w:rPr>
                <w:lang w:val="uk-UA"/>
              </w:rPr>
              <w:t xml:space="preserve">, </w:t>
            </w:r>
            <w:r>
              <w:t>(044) 241-54-02, внутр. 4-02, кімната 367</w:t>
            </w:r>
            <w:r>
              <w:rPr>
                <w:lang w:val="uk-UA"/>
              </w:rPr>
              <w:t xml:space="preserve">, </w:t>
            </w:r>
            <w:r>
              <w:fldChar w:fldCharType="begin"/>
            </w:r>
            <w:r>
              <w:instrText xml:space="preserve"> HYPERLINK "http://org2.knuba.edu.ua/course/view.php?id=903" </w:instrText>
            </w:r>
            <w:r>
              <w:fldChar w:fldCharType="separate"/>
            </w:r>
            <w:r>
              <w:rPr>
                <w:rStyle w:val="6"/>
                <w:lang w:val="uk-UA"/>
              </w:rPr>
              <w:t>http://org2.knuba.edu.ua/course/view.php?id=903</w:t>
            </w:r>
            <w:r>
              <w:rPr>
                <w:rStyle w:val="6"/>
                <w:lang w:val="uk-U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5000" w:type="pct"/>
            <w:gridSpan w:val="11"/>
            <w:tcBorders>
              <w:top w:val="single" w:color="auto" w:sz="4" w:space="0"/>
              <w:left w:val="single" w:color="auto" w:sz="4" w:space="0"/>
              <w:bottom w:val="single" w:color="auto" w:sz="4" w:space="0"/>
              <w:right w:val="single" w:color="auto" w:sz="4" w:space="0"/>
            </w:tcBorders>
          </w:tcPr>
          <w:p>
            <w:pPr>
              <w:spacing w:before="40" w:after="40"/>
              <w:ind w:left="360" w:hanging="360"/>
              <w:rPr>
                <w:sz w:val="24"/>
                <w:szCs w:val="24"/>
                <w:lang w:val="uk-UA"/>
              </w:rPr>
            </w:pPr>
            <w:r>
              <w:rPr>
                <w:b/>
                <w:bCs/>
                <w:lang w:val="uk-UA"/>
              </w:rPr>
              <w:t xml:space="preserve">12) Мова навчання: </w:t>
            </w:r>
            <w:r>
              <w:rPr>
                <w:bCs/>
                <w:lang w:val="uk-UA"/>
              </w:rPr>
              <w:t>українська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5000" w:type="pct"/>
            <w:gridSpan w:val="11"/>
            <w:tcBorders>
              <w:top w:val="single" w:color="auto" w:sz="4" w:space="0"/>
              <w:left w:val="single" w:color="auto" w:sz="4" w:space="0"/>
              <w:bottom w:val="single" w:color="auto" w:sz="4" w:space="0"/>
              <w:right w:val="single" w:color="auto" w:sz="4" w:space="0"/>
            </w:tcBorders>
          </w:tcPr>
          <w:p>
            <w:pPr>
              <w:spacing w:before="40" w:after="40"/>
              <w:jc w:val="both"/>
              <w:rPr>
                <w:b/>
                <w:lang w:val="ru-RU"/>
              </w:rPr>
            </w:pPr>
            <w:r>
              <w:rPr>
                <w:b/>
                <w:lang w:val="uk-UA"/>
              </w:rPr>
              <w:t>13) Необхідні ввідні дисципліни: (що треба вивчити, щоб слухати цей курс):</w:t>
            </w:r>
            <w:r>
              <w:rPr>
                <w:lang w:val="uk-UA"/>
              </w:rPr>
              <w:t xml:space="preserve"> «Елементарна математика»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5000" w:type="pct"/>
            <w:gridSpan w:val="11"/>
            <w:tcBorders>
              <w:top w:val="single" w:color="auto" w:sz="4" w:space="0"/>
              <w:left w:val="single" w:color="auto" w:sz="4" w:space="0"/>
              <w:bottom w:val="single" w:color="auto" w:sz="4" w:space="0"/>
              <w:right w:val="single" w:color="auto" w:sz="4" w:space="0"/>
            </w:tcBorders>
          </w:tcPr>
          <w:p>
            <w:pPr>
              <w:jc w:val="both"/>
              <w:rPr>
                <w:lang w:val="uk-UA"/>
              </w:rPr>
            </w:pPr>
            <w:r>
              <w:rPr>
                <w:b/>
              </w:rPr>
              <w:t>14) Мета курсу</w:t>
            </w:r>
            <w:r>
              <w:t>:</w:t>
            </w:r>
            <w:r>
              <w:rPr>
                <w:sz w:val="28"/>
                <w:szCs w:val="28"/>
              </w:rPr>
              <w:t xml:space="preserve"> </w:t>
            </w:r>
            <w:r>
              <w:rPr>
                <w:lang w:val="uk-UA"/>
              </w:rPr>
              <w:t>полягає у формуванні знань і навичок застосування основних законів, математних моделей і методів в інженерній практиці, при вирішенні технічних задач</w:t>
            </w:r>
            <w:r>
              <w:rPr>
                <w:lang w:val="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5000" w:type="pct"/>
            <w:gridSpan w:val="11"/>
            <w:tcBorders>
              <w:top w:val="single" w:color="auto" w:sz="4" w:space="0"/>
              <w:left w:val="single" w:color="auto" w:sz="4" w:space="0"/>
              <w:bottom w:val="double" w:color="auto" w:sz="4" w:space="0"/>
              <w:right w:val="single" w:color="auto" w:sz="4" w:space="0"/>
            </w:tcBorders>
          </w:tcPr>
          <w:p>
            <w:pPr>
              <w:keepNext/>
              <w:spacing w:before="40" w:after="40"/>
              <w:ind w:left="357" w:hanging="357"/>
              <w:rPr>
                <w:b/>
                <w:lang w:val="uk-UA"/>
              </w:rPr>
            </w:pPr>
            <w:r>
              <w:rPr>
                <w:b/>
                <w:bCs/>
                <w:lang w:val="uk-UA"/>
              </w:rPr>
              <w:t>15)</w:t>
            </w:r>
            <w:r>
              <w:rPr>
                <w:b/>
              </w:rPr>
              <w:tab/>
            </w:r>
            <w:r>
              <w:rPr>
                <w:b/>
                <w:lang w:val="uk-UA"/>
              </w:rPr>
              <w:t>Результати навчання: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490" w:type="pct"/>
            <w:gridSpan w:val="2"/>
            <w:tcBorders>
              <w:top w:val="double" w:color="auto" w:sz="4" w:space="0"/>
              <w:left w:val="double" w:color="auto" w:sz="4" w:space="0"/>
              <w:bottom w:val="single" w:color="auto" w:sz="4" w:space="0"/>
              <w:right w:val="single" w:color="auto" w:sz="4" w:space="0"/>
            </w:tcBorders>
            <w:vAlign w:val="center"/>
          </w:tcPr>
          <w:p>
            <w:pPr>
              <w:jc w:val="center"/>
              <w:rPr>
                <w:b/>
                <w:sz w:val="18"/>
                <w:szCs w:val="18"/>
                <w:lang w:val="uk-UA"/>
              </w:rPr>
            </w:pPr>
            <w:r>
              <w:rPr>
                <w:b/>
                <w:sz w:val="18"/>
                <w:szCs w:val="18"/>
                <w:lang w:val="uk-UA"/>
              </w:rPr>
              <w:t>№</w:t>
            </w:r>
          </w:p>
        </w:tc>
        <w:tc>
          <w:tcPr>
            <w:tcW w:w="2304" w:type="pct"/>
            <w:gridSpan w:val="4"/>
            <w:tcBorders>
              <w:top w:val="double" w:color="auto" w:sz="4" w:space="0"/>
              <w:left w:val="single" w:color="auto" w:sz="4" w:space="0"/>
              <w:bottom w:val="single" w:color="auto" w:sz="4" w:space="0"/>
              <w:right w:val="single" w:color="auto" w:sz="4" w:space="0"/>
            </w:tcBorders>
            <w:vAlign w:val="center"/>
          </w:tcPr>
          <w:p>
            <w:pPr>
              <w:jc w:val="center"/>
              <w:rPr>
                <w:b/>
                <w:sz w:val="18"/>
                <w:szCs w:val="18"/>
                <w:lang w:val="ru-RU"/>
              </w:rPr>
            </w:pPr>
            <w:r>
              <w:rPr>
                <w:b/>
                <w:sz w:val="18"/>
                <w:szCs w:val="18"/>
                <w:lang w:val="uk-UA"/>
              </w:rPr>
              <w:t>Програмний результат</w:t>
            </w:r>
            <w:r>
              <w:rPr>
                <w:b/>
                <w:sz w:val="18"/>
                <w:szCs w:val="18"/>
                <w:lang w:val="ru-RU"/>
              </w:rPr>
              <w:t xml:space="preserve"> навчання </w:t>
            </w:r>
          </w:p>
        </w:tc>
        <w:tc>
          <w:tcPr>
            <w:tcW w:w="890" w:type="pct"/>
            <w:tcBorders>
              <w:top w:val="double" w:color="auto" w:sz="4" w:space="0"/>
              <w:left w:val="single" w:color="auto" w:sz="4" w:space="0"/>
              <w:bottom w:val="single" w:color="auto" w:sz="4" w:space="0"/>
              <w:right w:val="single" w:color="auto" w:sz="4" w:space="0"/>
            </w:tcBorders>
            <w:vAlign w:val="center"/>
          </w:tcPr>
          <w:p>
            <w:pPr>
              <w:jc w:val="center"/>
              <w:rPr>
                <w:b/>
                <w:sz w:val="18"/>
                <w:szCs w:val="18"/>
                <w:lang w:val="ru-RU"/>
              </w:rPr>
            </w:pPr>
            <w:r>
              <w:rPr>
                <w:b/>
                <w:sz w:val="18"/>
                <w:szCs w:val="18"/>
                <w:lang w:val="ru-RU"/>
              </w:rPr>
              <w:t>Метод перевірки навчального ефекту</w:t>
            </w:r>
          </w:p>
        </w:tc>
        <w:tc>
          <w:tcPr>
            <w:tcW w:w="668" w:type="pct"/>
            <w:gridSpan w:val="2"/>
            <w:tcBorders>
              <w:top w:val="double" w:color="auto" w:sz="4" w:space="0"/>
              <w:left w:val="single" w:color="auto" w:sz="4" w:space="0"/>
              <w:bottom w:val="single" w:color="auto" w:sz="4" w:space="0"/>
              <w:right w:val="single" w:color="auto" w:sz="4" w:space="0"/>
            </w:tcBorders>
            <w:vAlign w:val="center"/>
          </w:tcPr>
          <w:p>
            <w:pPr>
              <w:jc w:val="center"/>
              <w:rPr>
                <w:b/>
                <w:sz w:val="18"/>
                <w:szCs w:val="18"/>
                <w:lang w:val="ru-RU"/>
              </w:rPr>
            </w:pPr>
            <w:r>
              <w:rPr>
                <w:b/>
                <w:sz w:val="18"/>
                <w:szCs w:val="18"/>
                <w:lang w:val="ru-RU"/>
              </w:rPr>
              <w:t>Форма проведення занять</w:t>
            </w:r>
          </w:p>
        </w:tc>
        <w:tc>
          <w:tcPr>
            <w:tcW w:w="648" w:type="pct"/>
            <w:gridSpan w:val="2"/>
            <w:tcBorders>
              <w:top w:val="double" w:color="auto" w:sz="4" w:space="0"/>
              <w:left w:val="single" w:color="auto" w:sz="4" w:space="0"/>
              <w:bottom w:val="single" w:color="auto" w:sz="4" w:space="0"/>
              <w:right w:val="double" w:color="auto" w:sz="4" w:space="0"/>
            </w:tcBorders>
            <w:vAlign w:val="center"/>
          </w:tcPr>
          <w:p>
            <w:pPr>
              <w:jc w:val="center"/>
              <w:rPr>
                <w:b/>
                <w:sz w:val="18"/>
                <w:szCs w:val="18"/>
                <w:lang w:val="uk-UA"/>
              </w:rPr>
            </w:pPr>
            <w:r>
              <w:rPr>
                <w:b/>
                <w:sz w:val="18"/>
                <w:szCs w:val="18"/>
                <w:lang w:val="uk-UA"/>
              </w:rPr>
              <w:t>Посилання на програмні компетентності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490" w:type="pct"/>
            <w:gridSpan w:val="2"/>
            <w:tcBorders>
              <w:top w:val="single" w:color="auto" w:sz="4" w:space="0"/>
              <w:left w:val="double" w:color="auto" w:sz="4" w:space="0"/>
              <w:bottom w:val="single" w:color="auto" w:sz="4" w:space="0"/>
              <w:right w:val="single" w:color="auto" w:sz="4" w:space="0"/>
            </w:tcBorders>
          </w:tcPr>
          <w:p>
            <w:pPr>
              <w:jc w:val="center"/>
              <w:rPr>
                <w:sz w:val="18"/>
                <w:szCs w:val="18"/>
                <w:lang w:val="uk-UA"/>
              </w:rPr>
            </w:pPr>
            <w:r>
              <w:rPr>
                <w:sz w:val="18"/>
                <w:szCs w:val="18"/>
                <w:lang w:val="uk-UA"/>
              </w:rPr>
              <w:t>1.</w:t>
            </w:r>
          </w:p>
        </w:tc>
        <w:tc>
          <w:tcPr>
            <w:tcW w:w="2304" w:type="pct"/>
            <w:gridSpan w:val="4"/>
            <w:tcBorders>
              <w:top w:val="single" w:color="auto" w:sz="4" w:space="0"/>
              <w:left w:val="single" w:color="auto" w:sz="4" w:space="0"/>
              <w:bottom w:val="single" w:color="auto" w:sz="4" w:space="0"/>
              <w:right w:val="single" w:color="auto" w:sz="4" w:space="0"/>
            </w:tcBorders>
          </w:tcPr>
          <w:p>
            <w:pPr>
              <w:jc w:val="both"/>
              <w:rPr>
                <w:snapToGrid w:val="0"/>
                <w:lang w:val="uk-UA"/>
              </w:rPr>
            </w:pPr>
            <w:r>
              <w:rPr>
                <w:lang w:eastAsia="ru-RU"/>
              </w:rPr>
              <w:t>ПР06. Доносити зрозуміло і недвозначно професійні знання, обґрунтування і висновки до фахівців і широкого загалудержавною та іноземною мовами.</w:t>
            </w:r>
          </w:p>
        </w:tc>
        <w:tc>
          <w:tcPr>
            <w:tcW w:w="890" w:type="pct"/>
            <w:tcBorders>
              <w:top w:val="single" w:color="auto" w:sz="4" w:space="0"/>
              <w:left w:val="single" w:color="auto" w:sz="4" w:space="0"/>
              <w:bottom w:val="single" w:color="auto" w:sz="4" w:space="0"/>
              <w:right w:val="single" w:color="auto" w:sz="4" w:space="0"/>
            </w:tcBorders>
          </w:tcPr>
          <w:p>
            <w:pPr>
              <w:jc w:val="center"/>
            </w:pPr>
            <w:r>
              <w:t>Обговорення під час занять, розрахункова робота</w:t>
            </w:r>
          </w:p>
        </w:tc>
        <w:tc>
          <w:tcPr>
            <w:tcW w:w="668" w:type="pct"/>
            <w:gridSpan w:val="2"/>
            <w:tcBorders>
              <w:top w:val="single" w:color="auto" w:sz="4" w:space="0"/>
              <w:left w:val="single" w:color="auto" w:sz="4" w:space="0"/>
              <w:bottom w:val="single" w:color="auto" w:sz="4" w:space="0"/>
              <w:right w:val="single" w:color="auto" w:sz="4" w:space="0"/>
            </w:tcBorders>
          </w:tcPr>
          <w:p>
            <w:pPr>
              <w:jc w:val="center"/>
              <w:rPr>
                <w:lang w:val="uk-UA"/>
              </w:rPr>
            </w:pPr>
            <w:r>
              <w:t>Лекції</w:t>
            </w:r>
          </w:p>
          <w:p>
            <w:pPr>
              <w:jc w:val="center"/>
              <w:rPr>
                <w:sz w:val="18"/>
                <w:szCs w:val="18"/>
                <w:lang w:val="ru-RU"/>
              </w:rPr>
            </w:pPr>
            <w:r>
              <w:rPr>
                <w:sz w:val="18"/>
                <w:szCs w:val="18"/>
                <w:lang w:val="ru-RU"/>
              </w:rPr>
              <w:t>Практичні  заняття</w:t>
            </w:r>
          </w:p>
          <w:p>
            <w:pPr>
              <w:jc w:val="center"/>
            </w:pPr>
            <w:r>
              <w:rPr>
                <w:sz w:val="18"/>
                <w:szCs w:val="18"/>
                <w:lang w:val="ru-RU"/>
              </w:rPr>
              <w:t>Консультації</w:t>
            </w:r>
          </w:p>
        </w:tc>
        <w:tc>
          <w:tcPr>
            <w:tcW w:w="648" w:type="pct"/>
            <w:gridSpan w:val="2"/>
            <w:tcBorders>
              <w:top w:val="single" w:color="auto" w:sz="4" w:space="0"/>
              <w:left w:val="single" w:color="auto" w:sz="4" w:space="0"/>
              <w:bottom w:val="single" w:color="auto" w:sz="4" w:space="0"/>
              <w:right w:val="double" w:color="auto" w:sz="4" w:space="0"/>
            </w:tcBorders>
          </w:tcPr>
          <w:p>
            <w:pPr>
              <w:jc w:val="center"/>
              <w:rPr>
                <w:sz w:val="18"/>
                <w:szCs w:val="18"/>
                <w:lang w:val="uk-UA"/>
              </w:rPr>
            </w:pPr>
            <w:r>
              <w:rPr>
                <w:sz w:val="18"/>
                <w:szCs w:val="18"/>
                <w:lang w:val="uk-UA"/>
              </w:rPr>
              <w:t>ІК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490" w:type="pct"/>
            <w:gridSpan w:val="2"/>
            <w:tcBorders>
              <w:top w:val="single" w:color="auto" w:sz="4" w:space="0"/>
              <w:left w:val="double" w:color="auto" w:sz="4" w:space="0"/>
              <w:bottom w:val="single" w:color="auto" w:sz="4" w:space="0"/>
              <w:right w:val="single" w:color="auto" w:sz="4" w:space="0"/>
            </w:tcBorders>
          </w:tcPr>
          <w:p>
            <w:pPr>
              <w:jc w:val="center"/>
              <w:rPr>
                <w:sz w:val="18"/>
                <w:szCs w:val="18"/>
                <w:lang w:val="uk-UA"/>
              </w:rPr>
            </w:pPr>
            <w:r>
              <w:rPr>
                <w:sz w:val="18"/>
                <w:szCs w:val="18"/>
                <w:lang w:val="uk-UA"/>
              </w:rPr>
              <w:t>2.</w:t>
            </w:r>
          </w:p>
        </w:tc>
        <w:tc>
          <w:tcPr>
            <w:tcW w:w="2304" w:type="pct"/>
            <w:gridSpan w:val="4"/>
            <w:tcBorders>
              <w:top w:val="single" w:color="auto" w:sz="4" w:space="0"/>
              <w:left w:val="single" w:color="auto" w:sz="4" w:space="0"/>
              <w:bottom w:val="single" w:color="auto" w:sz="4" w:space="0"/>
              <w:right w:val="single" w:color="auto" w:sz="4" w:space="0"/>
            </w:tcBorders>
          </w:tcPr>
          <w:p>
            <w:pPr>
              <w:jc w:val="both"/>
              <w:rPr>
                <w:lang w:eastAsia="ru-RU"/>
              </w:rPr>
            </w:pPr>
            <w:r>
              <w:rPr>
                <w:lang w:eastAsia="ru-RU"/>
              </w:rPr>
              <w:t>ПР10. Знати основи психології, педагогіки, а також фундаментальних і прикладних наук (відповідно до спеціалізації) на рівні, необхідному для досягнення інших результатів навчання, передбачених цим стандартом та освітньою програмою.</w:t>
            </w:r>
          </w:p>
        </w:tc>
        <w:tc>
          <w:tcPr>
            <w:tcW w:w="890" w:type="pct"/>
            <w:tcBorders>
              <w:top w:val="single" w:color="auto" w:sz="4" w:space="0"/>
              <w:left w:val="single" w:color="auto" w:sz="4" w:space="0"/>
              <w:bottom w:val="single" w:color="auto" w:sz="4" w:space="0"/>
              <w:right w:val="single" w:color="auto" w:sz="4" w:space="0"/>
            </w:tcBorders>
          </w:tcPr>
          <w:p>
            <w:pPr>
              <w:jc w:val="center"/>
            </w:pPr>
            <w:r>
              <w:t>Обговорення під час занять, розрахункова робота</w:t>
            </w:r>
          </w:p>
        </w:tc>
        <w:tc>
          <w:tcPr>
            <w:tcW w:w="668" w:type="pct"/>
            <w:gridSpan w:val="2"/>
            <w:tcBorders>
              <w:top w:val="single" w:color="auto" w:sz="4" w:space="0"/>
              <w:left w:val="single" w:color="auto" w:sz="4" w:space="0"/>
              <w:bottom w:val="single" w:color="auto" w:sz="4" w:space="0"/>
              <w:right w:val="single" w:color="auto" w:sz="4" w:space="0"/>
            </w:tcBorders>
          </w:tcPr>
          <w:p>
            <w:pPr>
              <w:jc w:val="center"/>
            </w:pPr>
            <w:r>
              <w:t>Лекції</w:t>
            </w:r>
          </w:p>
          <w:p>
            <w:pPr>
              <w:jc w:val="center"/>
              <w:rPr>
                <w:sz w:val="18"/>
                <w:szCs w:val="18"/>
                <w:lang w:val="ru-RU"/>
              </w:rPr>
            </w:pPr>
            <w:r>
              <w:rPr>
                <w:sz w:val="18"/>
                <w:szCs w:val="18"/>
                <w:lang w:val="ru-RU"/>
              </w:rPr>
              <w:t>Практичні заняття</w:t>
            </w:r>
          </w:p>
          <w:p>
            <w:pPr>
              <w:jc w:val="center"/>
            </w:pPr>
            <w:r>
              <w:rPr>
                <w:sz w:val="18"/>
                <w:szCs w:val="18"/>
                <w:lang w:val="ru-RU"/>
              </w:rPr>
              <w:t>Консультації</w:t>
            </w:r>
          </w:p>
        </w:tc>
        <w:tc>
          <w:tcPr>
            <w:tcW w:w="648" w:type="pct"/>
            <w:gridSpan w:val="2"/>
            <w:tcBorders>
              <w:top w:val="single" w:color="auto" w:sz="4" w:space="0"/>
              <w:left w:val="single" w:color="auto" w:sz="4" w:space="0"/>
              <w:bottom w:val="single" w:color="auto" w:sz="4" w:space="0"/>
              <w:right w:val="double" w:color="auto" w:sz="4" w:space="0"/>
            </w:tcBorders>
          </w:tcPr>
          <w:p>
            <w:pPr>
              <w:jc w:val="center"/>
              <w:rPr>
                <w:sz w:val="18"/>
                <w:szCs w:val="18"/>
                <w:lang w:val="en-US"/>
              </w:rPr>
            </w:pPr>
            <w:r>
              <w:rPr>
                <w:sz w:val="18"/>
                <w:szCs w:val="18"/>
                <w:lang w:val="ru-RU"/>
              </w:rPr>
              <w:t xml:space="preserve">ІК </w:t>
            </w:r>
          </w:p>
          <w:p>
            <w:pPr>
              <w:jc w:val="center"/>
              <w:rPr>
                <w:sz w:val="18"/>
                <w:szCs w:val="18"/>
                <w:lang w:val="ru-RU"/>
              </w:rPr>
            </w:pPr>
            <w:r>
              <w:rPr>
                <w:sz w:val="18"/>
                <w:szCs w:val="18"/>
                <w:lang w:val="ru-RU"/>
              </w:rPr>
              <w:t>К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490" w:type="pct"/>
            <w:gridSpan w:val="2"/>
            <w:tcBorders>
              <w:top w:val="single" w:color="auto" w:sz="4" w:space="0"/>
              <w:left w:val="double" w:color="auto" w:sz="4" w:space="0"/>
              <w:bottom w:val="single" w:color="auto" w:sz="4" w:space="0"/>
              <w:right w:val="single" w:color="auto" w:sz="4" w:space="0"/>
            </w:tcBorders>
          </w:tcPr>
          <w:p>
            <w:pPr>
              <w:jc w:val="center"/>
              <w:rPr>
                <w:sz w:val="18"/>
                <w:szCs w:val="18"/>
                <w:lang w:val="uk-UA"/>
              </w:rPr>
            </w:pPr>
            <w:r>
              <w:rPr>
                <w:sz w:val="18"/>
                <w:szCs w:val="18"/>
                <w:lang w:val="uk-UA"/>
              </w:rPr>
              <w:t>3.</w:t>
            </w:r>
          </w:p>
        </w:tc>
        <w:tc>
          <w:tcPr>
            <w:tcW w:w="2304" w:type="pct"/>
            <w:gridSpan w:val="4"/>
            <w:tcBorders>
              <w:top w:val="single" w:color="auto" w:sz="4" w:space="0"/>
              <w:left w:val="single" w:color="auto" w:sz="4" w:space="0"/>
              <w:bottom w:val="single" w:color="auto" w:sz="4" w:space="0"/>
              <w:right w:val="single" w:color="auto" w:sz="4" w:space="0"/>
            </w:tcBorders>
          </w:tcPr>
          <w:p>
            <w:pPr>
              <w:jc w:val="both"/>
              <w:rPr>
                <w:lang w:eastAsia="ru-RU"/>
              </w:rPr>
            </w:pPr>
            <w:r>
              <w:rPr>
                <w:lang w:eastAsia="ru-RU"/>
              </w:rPr>
              <w:t>ПР05. Володіти культурою мовлення, обирати оптимальну комунікаційну стратегію у спілкуванні з групами та окремими особами.</w:t>
            </w:r>
          </w:p>
        </w:tc>
        <w:tc>
          <w:tcPr>
            <w:tcW w:w="890" w:type="pct"/>
            <w:tcBorders>
              <w:top w:val="single" w:color="auto" w:sz="4" w:space="0"/>
              <w:left w:val="single" w:color="auto" w:sz="4" w:space="0"/>
              <w:bottom w:val="single" w:color="auto" w:sz="4" w:space="0"/>
              <w:right w:val="single" w:color="auto" w:sz="4" w:space="0"/>
            </w:tcBorders>
          </w:tcPr>
          <w:p>
            <w:pPr>
              <w:jc w:val="center"/>
            </w:pPr>
            <w:r>
              <w:t>Обговорення під час занять, розрахункова робота</w:t>
            </w:r>
          </w:p>
        </w:tc>
        <w:tc>
          <w:tcPr>
            <w:tcW w:w="668" w:type="pct"/>
            <w:gridSpan w:val="2"/>
            <w:tcBorders>
              <w:top w:val="single" w:color="auto" w:sz="4" w:space="0"/>
              <w:left w:val="single" w:color="auto" w:sz="4" w:space="0"/>
              <w:bottom w:val="single" w:color="auto" w:sz="4" w:space="0"/>
              <w:right w:val="single" w:color="auto" w:sz="4" w:space="0"/>
            </w:tcBorders>
          </w:tcPr>
          <w:p>
            <w:pPr>
              <w:jc w:val="center"/>
              <w:rPr>
                <w:lang w:val="uk-UA"/>
              </w:rPr>
            </w:pPr>
            <w:r>
              <w:t>Лекції</w:t>
            </w:r>
          </w:p>
          <w:p>
            <w:pPr>
              <w:jc w:val="center"/>
              <w:rPr>
                <w:sz w:val="18"/>
                <w:szCs w:val="18"/>
                <w:lang w:val="ru-RU"/>
              </w:rPr>
            </w:pPr>
            <w:r>
              <w:rPr>
                <w:sz w:val="18"/>
                <w:szCs w:val="18"/>
                <w:lang w:val="ru-RU"/>
              </w:rPr>
              <w:t>Практичні  заняття</w:t>
            </w:r>
          </w:p>
          <w:p>
            <w:pPr>
              <w:jc w:val="center"/>
            </w:pPr>
            <w:r>
              <w:rPr>
                <w:sz w:val="18"/>
                <w:szCs w:val="18"/>
                <w:lang w:val="ru-RU"/>
              </w:rPr>
              <w:t>Консультації</w:t>
            </w:r>
          </w:p>
        </w:tc>
        <w:tc>
          <w:tcPr>
            <w:tcW w:w="648" w:type="pct"/>
            <w:gridSpan w:val="2"/>
            <w:tcBorders>
              <w:top w:val="single" w:color="auto" w:sz="4" w:space="0"/>
              <w:left w:val="single" w:color="auto" w:sz="4" w:space="0"/>
              <w:bottom w:val="single" w:color="auto" w:sz="4" w:space="0"/>
              <w:right w:val="double" w:color="auto" w:sz="4" w:space="0"/>
            </w:tcBorders>
          </w:tcPr>
          <w:p>
            <w:pPr>
              <w:jc w:val="center"/>
              <w:rPr>
                <w:sz w:val="18"/>
                <w:szCs w:val="18"/>
                <w:lang w:val="en-US"/>
              </w:rPr>
            </w:pPr>
            <w:r>
              <w:rPr>
                <w:sz w:val="18"/>
                <w:szCs w:val="18"/>
                <w:lang w:val="ru-RU"/>
              </w:rPr>
              <w:t>К0</w:t>
            </w:r>
            <w:r>
              <w:rPr>
                <w:sz w:val="18"/>
                <w:szCs w:val="18"/>
                <w:lang w:val="en-U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490" w:type="pct"/>
            <w:gridSpan w:val="2"/>
            <w:tcBorders>
              <w:top w:val="single" w:color="auto" w:sz="4" w:space="0"/>
              <w:left w:val="double" w:color="auto" w:sz="4" w:space="0"/>
              <w:bottom w:val="single" w:color="auto" w:sz="4" w:space="0"/>
              <w:right w:val="single" w:color="auto" w:sz="4" w:space="0"/>
            </w:tcBorders>
          </w:tcPr>
          <w:p>
            <w:pPr>
              <w:jc w:val="center"/>
              <w:rPr>
                <w:sz w:val="18"/>
                <w:szCs w:val="18"/>
                <w:lang w:val="uk-UA"/>
              </w:rPr>
            </w:pPr>
            <w:r>
              <w:rPr>
                <w:sz w:val="18"/>
                <w:szCs w:val="18"/>
                <w:lang w:val="uk-UA"/>
              </w:rPr>
              <w:t>4.</w:t>
            </w:r>
          </w:p>
        </w:tc>
        <w:tc>
          <w:tcPr>
            <w:tcW w:w="2304" w:type="pct"/>
            <w:gridSpan w:val="4"/>
            <w:tcBorders>
              <w:top w:val="single" w:color="auto" w:sz="4" w:space="0"/>
              <w:left w:val="single" w:color="auto" w:sz="4" w:space="0"/>
              <w:bottom w:val="single" w:color="auto" w:sz="4" w:space="0"/>
              <w:right w:val="single" w:color="auto" w:sz="4" w:space="0"/>
            </w:tcBorders>
          </w:tcPr>
          <w:p>
            <w:pPr>
              <w:jc w:val="both"/>
              <w:rPr>
                <w:lang w:eastAsia="ru-RU"/>
              </w:rPr>
            </w:pPr>
            <w:r>
              <w:rPr>
                <w:lang w:eastAsia="ru-RU"/>
              </w:rPr>
              <w:t>ПР21.Застосовувати міжнародні та національні стандарти і практики в професійній діяльності.</w:t>
            </w:r>
          </w:p>
        </w:tc>
        <w:tc>
          <w:tcPr>
            <w:tcW w:w="890" w:type="pct"/>
            <w:tcBorders>
              <w:top w:val="single" w:color="auto" w:sz="4" w:space="0"/>
              <w:left w:val="single" w:color="auto" w:sz="4" w:space="0"/>
              <w:bottom w:val="single" w:color="auto" w:sz="4" w:space="0"/>
              <w:right w:val="single" w:color="auto" w:sz="4" w:space="0"/>
            </w:tcBorders>
          </w:tcPr>
          <w:p>
            <w:pPr>
              <w:jc w:val="center"/>
            </w:pPr>
            <w:r>
              <w:t>Обговорення під час занять, розрахункова робота</w:t>
            </w:r>
          </w:p>
        </w:tc>
        <w:tc>
          <w:tcPr>
            <w:tcW w:w="668" w:type="pct"/>
            <w:gridSpan w:val="2"/>
            <w:tcBorders>
              <w:top w:val="single" w:color="auto" w:sz="4" w:space="0"/>
              <w:left w:val="single" w:color="auto" w:sz="4" w:space="0"/>
              <w:bottom w:val="single" w:color="auto" w:sz="4" w:space="0"/>
              <w:right w:val="single" w:color="auto" w:sz="4" w:space="0"/>
            </w:tcBorders>
          </w:tcPr>
          <w:p>
            <w:pPr>
              <w:jc w:val="center"/>
              <w:rPr>
                <w:lang w:val="uk-UA"/>
              </w:rPr>
            </w:pPr>
            <w:r>
              <w:t>Лекції</w:t>
            </w:r>
          </w:p>
          <w:p>
            <w:pPr>
              <w:jc w:val="center"/>
              <w:rPr>
                <w:sz w:val="18"/>
                <w:szCs w:val="18"/>
                <w:lang w:val="ru-RU"/>
              </w:rPr>
            </w:pPr>
            <w:r>
              <w:rPr>
                <w:sz w:val="18"/>
                <w:szCs w:val="18"/>
                <w:lang w:val="ru-RU"/>
              </w:rPr>
              <w:t>Практичні  заняття</w:t>
            </w:r>
          </w:p>
          <w:p>
            <w:pPr>
              <w:jc w:val="center"/>
            </w:pPr>
            <w:r>
              <w:rPr>
                <w:sz w:val="18"/>
                <w:szCs w:val="18"/>
                <w:lang w:val="ru-RU"/>
              </w:rPr>
              <w:t>Консультації</w:t>
            </w:r>
          </w:p>
        </w:tc>
        <w:tc>
          <w:tcPr>
            <w:tcW w:w="648" w:type="pct"/>
            <w:gridSpan w:val="2"/>
            <w:tcBorders>
              <w:top w:val="single" w:color="auto" w:sz="4" w:space="0"/>
              <w:left w:val="single" w:color="auto" w:sz="4" w:space="0"/>
              <w:bottom w:val="single" w:color="auto" w:sz="4" w:space="0"/>
              <w:right w:val="double" w:color="auto" w:sz="4" w:space="0"/>
            </w:tcBorders>
          </w:tcPr>
          <w:p>
            <w:pPr>
              <w:jc w:val="center"/>
              <w:rPr>
                <w:sz w:val="18"/>
                <w:szCs w:val="18"/>
                <w:lang w:val="en-US"/>
              </w:rPr>
            </w:pPr>
            <w:r>
              <w:rPr>
                <w:sz w:val="18"/>
                <w:szCs w:val="18"/>
                <w:lang w:val="ru-RU"/>
              </w:rPr>
              <w:t>К0</w:t>
            </w:r>
            <w:r>
              <w:rPr>
                <w:sz w:val="18"/>
                <w:szCs w:val="18"/>
                <w:lang w:val="en-U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490" w:type="pct"/>
            <w:gridSpan w:val="2"/>
            <w:tcBorders>
              <w:top w:val="single" w:color="auto" w:sz="4" w:space="0"/>
              <w:left w:val="double" w:color="auto" w:sz="4" w:space="0"/>
              <w:bottom w:val="single" w:color="auto" w:sz="4" w:space="0"/>
              <w:right w:val="single" w:color="auto" w:sz="4" w:space="0"/>
            </w:tcBorders>
          </w:tcPr>
          <w:p>
            <w:pPr>
              <w:jc w:val="center"/>
              <w:rPr>
                <w:sz w:val="18"/>
                <w:szCs w:val="18"/>
                <w:lang w:val="uk-UA"/>
              </w:rPr>
            </w:pPr>
            <w:r>
              <w:rPr>
                <w:sz w:val="18"/>
                <w:szCs w:val="18"/>
                <w:lang w:val="uk-UA"/>
              </w:rPr>
              <w:t>5.</w:t>
            </w:r>
          </w:p>
        </w:tc>
        <w:tc>
          <w:tcPr>
            <w:tcW w:w="2304" w:type="pct"/>
            <w:gridSpan w:val="4"/>
            <w:tcBorders>
              <w:top w:val="single" w:color="auto" w:sz="4" w:space="0"/>
              <w:left w:val="single" w:color="auto" w:sz="4" w:space="0"/>
              <w:bottom w:val="single" w:color="auto" w:sz="4" w:space="0"/>
              <w:right w:val="single" w:color="auto" w:sz="4" w:space="0"/>
            </w:tcBorders>
          </w:tcPr>
          <w:p>
            <w:pPr>
              <w:jc w:val="both"/>
              <w:rPr>
                <w:lang w:eastAsia="ru-RU"/>
              </w:rPr>
            </w:pPr>
            <w:r>
              <w:rPr>
                <w:lang w:eastAsia="ru-RU"/>
              </w:rPr>
              <w:t>ПР07. Аналізувати та оцінювати ризики, проблеми у професійній діяльності й обирати ефективні шляхи їх вирішення.</w:t>
            </w:r>
          </w:p>
        </w:tc>
        <w:tc>
          <w:tcPr>
            <w:tcW w:w="890" w:type="pct"/>
            <w:tcBorders>
              <w:top w:val="single" w:color="auto" w:sz="4" w:space="0"/>
              <w:left w:val="single" w:color="auto" w:sz="4" w:space="0"/>
              <w:bottom w:val="single" w:color="auto" w:sz="4" w:space="0"/>
              <w:right w:val="single" w:color="auto" w:sz="4" w:space="0"/>
            </w:tcBorders>
          </w:tcPr>
          <w:p>
            <w:pPr>
              <w:jc w:val="center"/>
            </w:pPr>
            <w:r>
              <w:t>Обговорення під час занять, розрахункова робота</w:t>
            </w:r>
          </w:p>
        </w:tc>
        <w:tc>
          <w:tcPr>
            <w:tcW w:w="668" w:type="pct"/>
            <w:gridSpan w:val="2"/>
            <w:tcBorders>
              <w:top w:val="single" w:color="auto" w:sz="4" w:space="0"/>
              <w:left w:val="single" w:color="auto" w:sz="4" w:space="0"/>
              <w:bottom w:val="single" w:color="auto" w:sz="4" w:space="0"/>
              <w:right w:val="single" w:color="auto" w:sz="4" w:space="0"/>
            </w:tcBorders>
          </w:tcPr>
          <w:p>
            <w:pPr>
              <w:jc w:val="center"/>
              <w:rPr>
                <w:lang w:val="uk-UA"/>
              </w:rPr>
            </w:pPr>
            <w:r>
              <w:t>Лекції</w:t>
            </w:r>
          </w:p>
          <w:p>
            <w:pPr>
              <w:jc w:val="center"/>
              <w:rPr>
                <w:sz w:val="18"/>
                <w:szCs w:val="18"/>
                <w:lang w:val="ru-RU"/>
              </w:rPr>
            </w:pPr>
            <w:r>
              <w:rPr>
                <w:sz w:val="18"/>
                <w:szCs w:val="18"/>
                <w:lang w:val="ru-RU"/>
              </w:rPr>
              <w:t>Практичні  заняття</w:t>
            </w:r>
          </w:p>
          <w:p>
            <w:pPr>
              <w:jc w:val="center"/>
            </w:pPr>
            <w:r>
              <w:rPr>
                <w:sz w:val="18"/>
                <w:szCs w:val="18"/>
                <w:lang w:val="ru-RU"/>
              </w:rPr>
              <w:t>Консультації</w:t>
            </w:r>
          </w:p>
        </w:tc>
        <w:tc>
          <w:tcPr>
            <w:tcW w:w="648" w:type="pct"/>
            <w:gridSpan w:val="2"/>
            <w:tcBorders>
              <w:top w:val="single" w:color="auto" w:sz="4" w:space="0"/>
              <w:left w:val="single" w:color="auto" w:sz="4" w:space="0"/>
              <w:bottom w:val="single" w:color="auto" w:sz="4" w:space="0"/>
              <w:right w:val="double" w:color="auto" w:sz="4" w:space="0"/>
            </w:tcBorders>
          </w:tcPr>
          <w:p>
            <w:pPr>
              <w:jc w:val="center"/>
              <w:rPr>
                <w:sz w:val="18"/>
                <w:szCs w:val="18"/>
                <w:lang w:val="ru-RU"/>
              </w:rPr>
            </w:pPr>
            <w:r>
              <w:rPr>
                <w:sz w:val="18"/>
                <w:szCs w:val="18"/>
                <w:lang w:val="ru-RU"/>
              </w:rPr>
              <w:t>К05</w:t>
            </w:r>
          </w:p>
          <w:p>
            <w:pPr>
              <w:jc w:val="center"/>
              <w:rPr>
                <w:sz w:val="18"/>
                <w:szCs w:val="18"/>
                <w:lang w:val="ru-RU"/>
              </w:rPr>
            </w:pPr>
            <w:r>
              <w:rPr>
                <w:sz w:val="18"/>
                <w:szCs w:val="18"/>
                <w:lang w:val="ru-RU"/>
              </w:rPr>
              <w:t>К22</w:t>
            </w:r>
          </w:p>
          <w:p>
            <w:pPr>
              <w:jc w:val="center"/>
              <w:rPr>
                <w:sz w:val="18"/>
                <w:szCs w:val="18"/>
                <w:lang w:val="ru-RU"/>
              </w:rPr>
            </w:pPr>
            <w:r>
              <w:rPr>
                <w:sz w:val="18"/>
                <w:szCs w:val="18"/>
                <w:lang w:val="ru-RU"/>
              </w:rPr>
              <w:t>К23</w:t>
            </w:r>
          </w:p>
          <w:p>
            <w:pPr>
              <w:jc w:val="center"/>
              <w:rPr>
                <w:sz w:val="18"/>
                <w:szCs w:val="18"/>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490" w:type="pct"/>
            <w:gridSpan w:val="2"/>
            <w:tcBorders>
              <w:top w:val="single" w:color="auto" w:sz="4" w:space="0"/>
              <w:left w:val="double" w:color="auto" w:sz="4" w:space="0"/>
              <w:bottom w:val="single" w:color="auto" w:sz="4" w:space="0"/>
              <w:right w:val="single" w:color="auto" w:sz="4" w:space="0"/>
            </w:tcBorders>
          </w:tcPr>
          <w:p>
            <w:pPr>
              <w:jc w:val="center"/>
              <w:rPr>
                <w:sz w:val="18"/>
                <w:szCs w:val="18"/>
                <w:lang w:val="uk-UA"/>
              </w:rPr>
            </w:pPr>
            <w:r>
              <w:rPr>
                <w:sz w:val="18"/>
                <w:szCs w:val="18"/>
                <w:lang w:val="uk-UA"/>
              </w:rPr>
              <w:t>6.</w:t>
            </w:r>
          </w:p>
        </w:tc>
        <w:tc>
          <w:tcPr>
            <w:tcW w:w="2304" w:type="pct"/>
            <w:gridSpan w:val="4"/>
            <w:tcBorders>
              <w:top w:val="single" w:color="auto" w:sz="4" w:space="0"/>
              <w:left w:val="single" w:color="auto" w:sz="4" w:space="0"/>
              <w:bottom w:val="single" w:color="auto" w:sz="4" w:space="0"/>
              <w:right w:val="single" w:color="auto" w:sz="4" w:space="0"/>
            </w:tcBorders>
          </w:tcPr>
          <w:p>
            <w:pPr>
              <w:jc w:val="both"/>
              <w:rPr>
                <w:lang w:eastAsia="ru-RU"/>
              </w:rPr>
            </w:pPr>
            <w:r>
              <w:rPr>
                <w:lang w:eastAsia="ru-RU"/>
              </w:rPr>
              <w:t>ПР18. Розв’язувати типові спеціалізовані задачі, пов’язані з вибором матеріалів, виконанням необхідних розрахунків, конструюванням, проектуванням технічних об’єктів у предметній галузі (відповідно до спеціалізації).</w:t>
            </w:r>
          </w:p>
        </w:tc>
        <w:tc>
          <w:tcPr>
            <w:tcW w:w="890" w:type="pct"/>
            <w:tcBorders>
              <w:top w:val="single" w:color="auto" w:sz="4" w:space="0"/>
              <w:left w:val="single" w:color="auto" w:sz="4" w:space="0"/>
              <w:bottom w:val="single" w:color="auto" w:sz="4" w:space="0"/>
              <w:right w:val="single" w:color="auto" w:sz="4" w:space="0"/>
            </w:tcBorders>
          </w:tcPr>
          <w:p>
            <w:pPr>
              <w:jc w:val="center"/>
            </w:pPr>
            <w:r>
              <w:t>Обговорення під час занять, розрахункова робота</w:t>
            </w:r>
          </w:p>
        </w:tc>
        <w:tc>
          <w:tcPr>
            <w:tcW w:w="668" w:type="pct"/>
            <w:gridSpan w:val="2"/>
            <w:tcBorders>
              <w:top w:val="single" w:color="auto" w:sz="4" w:space="0"/>
              <w:left w:val="single" w:color="auto" w:sz="4" w:space="0"/>
              <w:bottom w:val="single" w:color="auto" w:sz="4" w:space="0"/>
              <w:right w:val="single" w:color="auto" w:sz="4" w:space="0"/>
            </w:tcBorders>
          </w:tcPr>
          <w:p>
            <w:pPr>
              <w:jc w:val="center"/>
              <w:rPr>
                <w:lang w:val="uk-UA"/>
              </w:rPr>
            </w:pPr>
            <w:r>
              <w:t>Лекції</w:t>
            </w:r>
          </w:p>
          <w:p>
            <w:pPr>
              <w:jc w:val="center"/>
              <w:rPr>
                <w:sz w:val="18"/>
                <w:szCs w:val="18"/>
                <w:lang w:val="ru-RU"/>
              </w:rPr>
            </w:pPr>
            <w:r>
              <w:rPr>
                <w:sz w:val="18"/>
                <w:szCs w:val="18"/>
                <w:lang w:val="ru-RU"/>
              </w:rPr>
              <w:t>Практичні  заняття</w:t>
            </w:r>
          </w:p>
          <w:p>
            <w:pPr>
              <w:jc w:val="center"/>
            </w:pPr>
            <w:r>
              <w:rPr>
                <w:sz w:val="18"/>
                <w:szCs w:val="18"/>
                <w:lang w:val="ru-RU"/>
              </w:rPr>
              <w:t>Консультації</w:t>
            </w:r>
          </w:p>
        </w:tc>
        <w:tc>
          <w:tcPr>
            <w:tcW w:w="648" w:type="pct"/>
            <w:gridSpan w:val="2"/>
            <w:tcBorders>
              <w:top w:val="single" w:color="auto" w:sz="4" w:space="0"/>
              <w:left w:val="single" w:color="auto" w:sz="4" w:space="0"/>
              <w:bottom w:val="single" w:color="auto" w:sz="4" w:space="0"/>
              <w:right w:val="double" w:color="auto" w:sz="4" w:space="0"/>
            </w:tcBorders>
          </w:tcPr>
          <w:p>
            <w:pPr>
              <w:jc w:val="center"/>
              <w:rPr>
                <w:sz w:val="18"/>
                <w:szCs w:val="18"/>
                <w:lang w:val="uk-UA"/>
              </w:rPr>
            </w:pPr>
            <w:r>
              <w:rPr>
                <w:sz w:val="18"/>
                <w:szCs w:val="18"/>
                <w:lang w:val="uk-UA"/>
              </w:rPr>
              <w:t>К05</w:t>
            </w:r>
          </w:p>
          <w:p>
            <w:pPr>
              <w:jc w:val="center"/>
              <w:rPr>
                <w:sz w:val="18"/>
                <w:szCs w:val="18"/>
                <w:lang w:val="ru-RU"/>
              </w:rPr>
            </w:pPr>
            <w:r>
              <w:rPr>
                <w:sz w:val="18"/>
                <w:szCs w:val="18"/>
                <w:lang w:val="ru-RU"/>
              </w:rPr>
              <w:t>К23</w:t>
            </w:r>
          </w:p>
          <w:p>
            <w:pPr>
              <w:jc w:val="center"/>
              <w:rPr>
                <w:sz w:val="18"/>
                <w:szCs w:val="18"/>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490" w:type="pct"/>
            <w:gridSpan w:val="2"/>
            <w:tcBorders>
              <w:top w:val="single" w:color="auto" w:sz="4" w:space="0"/>
              <w:left w:val="double" w:color="auto" w:sz="4" w:space="0"/>
              <w:bottom w:val="single" w:color="auto" w:sz="4" w:space="0"/>
              <w:right w:val="single" w:color="auto" w:sz="4" w:space="0"/>
            </w:tcBorders>
          </w:tcPr>
          <w:p>
            <w:pPr>
              <w:jc w:val="center"/>
              <w:rPr>
                <w:sz w:val="18"/>
                <w:szCs w:val="18"/>
                <w:lang w:val="uk-UA"/>
              </w:rPr>
            </w:pPr>
            <w:r>
              <w:rPr>
                <w:sz w:val="18"/>
                <w:szCs w:val="18"/>
                <w:lang w:val="uk-UA"/>
              </w:rPr>
              <w:t>7.</w:t>
            </w:r>
          </w:p>
        </w:tc>
        <w:tc>
          <w:tcPr>
            <w:tcW w:w="2304" w:type="pct"/>
            <w:gridSpan w:val="4"/>
            <w:tcBorders>
              <w:top w:val="single" w:color="auto" w:sz="4" w:space="0"/>
              <w:left w:val="single" w:color="auto" w:sz="4" w:space="0"/>
              <w:bottom w:val="single" w:color="auto" w:sz="4" w:space="0"/>
              <w:right w:val="single" w:color="auto" w:sz="4" w:space="0"/>
            </w:tcBorders>
          </w:tcPr>
          <w:p>
            <w:pPr>
              <w:jc w:val="both"/>
              <w:rPr>
                <w:lang w:eastAsia="ru-RU"/>
              </w:rPr>
            </w:pPr>
            <w:r>
              <w:rPr>
                <w:lang w:eastAsia="ru-RU"/>
              </w:rPr>
              <w:t>ПР14. Володіти навичками стимулювання пізнавального інтересу, мотивації до навчання, професійного самовизначення та саморозвитку здобувачів освіти.</w:t>
            </w:r>
          </w:p>
        </w:tc>
        <w:tc>
          <w:tcPr>
            <w:tcW w:w="890" w:type="pct"/>
            <w:tcBorders>
              <w:top w:val="single" w:color="auto" w:sz="4" w:space="0"/>
              <w:left w:val="single" w:color="auto" w:sz="4" w:space="0"/>
              <w:bottom w:val="single" w:color="auto" w:sz="4" w:space="0"/>
              <w:right w:val="single" w:color="auto" w:sz="4" w:space="0"/>
            </w:tcBorders>
          </w:tcPr>
          <w:p>
            <w:pPr>
              <w:jc w:val="center"/>
            </w:pPr>
            <w:r>
              <w:t>Обговорення під час занять, розрахункова робота</w:t>
            </w:r>
          </w:p>
        </w:tc>
        <w:tc>
          <w:tcPr>
            <w:tcW w:w="668" w:type="pct"/>
            <w:gridSpan w:val="2"/>
            <w:tcBorders>
              <w:top w:val="single" w:color="auto" w:sz="4" w:space="0"/>
              <w:left w:val="single" w:color="auto" w:sz="4" w:space="0"/>
              <w:bottom w:val="single" w:color="auto" w:sz="4" w:space="0"/>
              <w:right w:val="single" w:color="auto" w:sz="4" w:space="0"/>
            </w:tcBorders>
          </w:tcPr>
          <w:p>
            <w:pPr>
              <w:jc w:val="center"/>
              <w:rPr>
                <w:lang w:val="uk-UA"/>
              </w:rPr>
            </w:pPr>
            <w:r>
              <w:t>Лекції</w:t>
            </w:r>
          </w:p>
          <w:p>
            <w:pPr>
              <w:jc w:val="center"/>
              <w:rPr>
                <w:sz w:val="18"/>
                <w:szCs w:val="18"/>
                <w:lang w:val="ru-RU"/>
              </w:rPr>
            </w:pPr>
            <w:r>
              <w:rPr>
                <w:sz w:val="18"/>
                <w:szCs w:val="18"/>
                <w:lang w:val="ru-RU"/>
              </w:rPr>
              <w:t>Практичні  заняття</w:t>
            </w:r>
          </w:p>
          <w:p>
            <w:pPr>
              <w:jc w:val="center"/>
            </w:pPr>
            <w:r>
              <w:rPr>
                <w:sz w:val="18"/>
                <w:szCs w:val="18"/>
                <w:lang w:val="ru-RU"/>
              </w:rPr>
              <w:t>Консультації</w:t>
            </w:r>
          </w:p>
        </w:tc>
        <w:tc>
          <w:tcPr>
            <w:tcW w:w="648" w:type="pct"/>
            <w:gridSpan w:val="2"/>
            <w:tcBorders>
              <w:top w:val="single" w:color="auto" w:sz="4" w:space="0"/>
              <w:left w:val="single" w:color="auto" w:sz="4" w:space="0"/>
              <w:bottom w:val="single" w:color="auto" w:sz="4" w:space="0"/>
              <w:right w:val="double" w:color="auto" w:sz="4" w:space="0"/>
            </w:tcBorders>
          </w:tcPr>
          <w:p>
            <w:pPr>
              <w:jc w:val="center"/>
              <w:rPr>
                <w:sz w:val="18"/>
                <w:szCs w:val="18"/>
                <w:lang w:val="uk-UA"/>
              </w:rPr>
            </w:pPr>
            <w:r>
              <w:rPr>
                <w:sz w:val="18"/>
                <w:szCs w:val="18"/>
                <w:lang w:val="uk-UA"/>
              </w:rPr>
              <w:t>К05</w:t>
            </w:r>
          </w:p>
          <w:p>
            <w:pPr>
              <w:jc w:val="center"/>
              <w:rPr>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490" w:type="pct"/>
            <w:gridSpan w:val="2"/>
            <w:tcBorders>
              <w:top w:val="single" w:color="auto" w:sz="4" w:space="0"/>
              <w:left w:val="double" w:color="auto" w:sz="4" w:space="0"/>
              <w:bottom w:val="single" w:color="auto" w:sz="4" w:space="0"/>
              <w:right w:val="single" w:color="auto" w:sz="4" w:space="0"/>
            </w:tcBorders>
          </w:tcPr>
          <w:p>
            <w:pPr>
              <w:jc w:val="center"/>
              <w:rPr>
                <w:sz w:val="18"/>
                <w:szCs w:val="18"/>
                <w:lang w:val="uk-UA"/>
              </w:rPr>
            </w:pPr>
            <w:r>
              <w:rPr>
                <w:sz w:val="18"/>
                <w:szCs w:val="18"/>
                <w:lang w:val="uk-UA"/>
              </w:rPr>
              <w:t>8.</w:t>
            </w:r>
          </w:p>
        </w:tc>
        <w:tc>
          <w:tcPr>
            <w:tcW w:w="2304" w:type="pct"/>
            <w:gridSpan w:val="4"/>
            <w:tcBorders>
              <w:top w:val="single" w:color="auto" w:sz="4" w:space="0"/>
              <w:left w:val="single" w:color="auto" w:sz="4" w:space="0"/>
              <w:bottom w:val="single" w:color="auto" w:sz="4" w:space="0"/>
              <w:right w:val="single" w:color="auto" w:sz="4" w:space="0"/>
            </w:tcBorders>
          </w:tcPr>
          <w:p>
            <w:pPr>
              <w:jc w:val="both"/>
              <w:rPr>
                <w:lang w:eastAsia="ru-RU"/>
              </w:rPr>
            </w:pPr>
            <w:r>
              <w:rPr>
                <w:lang w:eastAsia="ru-RU"/>
              </w:rPr>
              <w:t>ПР08. Самостійно планувати й організовувати власну професійну діяльність і діяльність здобувачів освіти і підлеглих.</w:t>
            </w:r>
          </w:p>
        </w:tc>
        <w:tc>
          <w:tcPr>
            <w:tcW w:w="890" w:type="pct"/>
            <w:tcBorders>
              <w:top w:val="single" w:color="auto" w:sz="4" w:space="0"/>
              <w:left w:val="single" w:color="auto" w:sz="4" w:space="0"/>
              <w:bottom w:val="single" w:color="auto" w:sz="4" w:space="0"/>
              <w:right w:val="single" w:color="auto" w:sz="4" w:space="0"/>
            </w:tcBorders>
          </w:tcPr>
          <w:p>
            <w:pPr>
              <w:jc w:val="center"/>
            </w:pPr>
            <w:r>
              <w:t>Обговорення під час занять, розрахункова робота</w:t>
            </w:r>
          </w:p>
        </w:tc>
        <w:tc>
          <w:tcPr>
            <w:tcW w:w="668" w:type="pct"/>
            <w:gridSpan w:val="2"/>
            <w:tcBorders>
              <w:top w:val="single" w:color="auto" w:sz="4" w:space="0"/>
              <w:left w:val="single" w:color="auto" w:sz="4" w:space="0"/>
              <w:bottom w:val="single" w:color="auto" w:sz="4" w:space="0"/>
              <w:right w:val="single" w:color="auto" w:sz="4" w:space="0"/>
            </w:tcBorders>
          </w:tcPr>
          <w:p>
            <w:pPr>
              <w:jc w:val="center"/>
              <w:rPr>
                <w:lang w:val="uk-UA"/>
              </w:rPr>
            </w:pPr>
            <w:r>
              <w:t>Лекції</w:t>
            </w:r>
          </w:p>
          <w:p>
            <w:pPr>
              <w:jc w:val="center"/>
              <w:rPr>
                <w:sz w:val="18"/>
                <w:szCs w:val="18"/>
                <w:lang w:val="ru-RU"/>
              </w:rPr>
            </w:pPr>
            <w:r>
              <w:rPr>
                <w:sz w:val="18"/>
                <w:szCs w:val="18"/>
                <w:lang w:val="ru-RU"/>
              </w:rPr>
              <w:t>Практичні  заняття</w:t>
            </w:r>
          </w:p>
          <w:p>
            <w:pPr>
              <w:jc w:val="center"/>
            </w:pPr>
            <w:r>
              <w:rPr>
                <w:sz w:val="18"/>
                <w:szCs w:val="18"/>
                <w:lang w:val="ru-RU"/>
              </w:rPr>
              <w:t>Консультації</w:t>
            </w:r>
          </w:p>
        </w:tc>
        <w:tc>
          <w:tcPr>
            <w:tcW w:w="648" w:type="pct"/>
            <w:gridSpan w:val="2"/>
            <w:tcBorders>
              <w:top w:val="single" w:color="auto" w:sz="4" w:space="0"/>
              <w:left w:val="single" w:color="auto" w:sz="4" w:space="0"/>
              <w:bottom w:val="single" w:color="auto" w:sz="4" w:space="0"/>
              <w:right w:val="double" w:color="auto" w:sz="4" w:space="0"/>
            </w:tcBorders>
          </w:tcPr>
          <w:p>
            <w:pPr>
              <w:jc w:val="center"/>
              <w:rPr>
                <w:sz w:val="18"/>
                <w:szCs w:val="18"/>
                <w:lang w:val="en-US"/>
              </w:rPr>
            </w:pPr>
            <w:r>
              <w:rPr>
                <w:sz w:val="18"/>
                <w:szCs w:val="18"/>
                <w:lang w:val="uk-UA"/>
              </w:rPr>
              <w:t>К2</w:t>
            </w:r>
            <w:r>
              <w:rPr>
                <w:sz w:val="18"/>
                <w:szCs w:val="18"/>
                <w:lang w:val="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490" w:type="pct"/>
            <w:gridSpan w:val="2"/>
            <w:tcBorders>
              <w:top w:val="single" w:color="auto" w:sz="4" w:space="0"/>
              <w:left w:val="double" w:color="auto" w:sz="4" w:space="0"/>
              <w:bottom w:val="single" w:color="auto" w:sz="4" w:space="0"/>
              <w:right w:val="single" w:color="auto" w:sz="4" w:space="0"/>
            </w:tcBorders>
          </w:tcPr>
          <w:p>
            <w:pPr>
              <w:jc w:val="center"/>
              <w:rPr>
                <w:sz w:val="18"/>
                <w:szCs w:val="18"/>
                <w:lang w:val="uk-UA"/>
              </w:rPr>
            </w:pPr>
            <w:r>
              <w:rPr>
                <w:sz w:val="18"/>
                <w:szCs w:val="18"/>
                <w:lang w:val="uk-UA"/>
              </w:rPr>
              <w:t>9.</w:t>
            </w:r>
          </w:p>
        </w:tc>
        <w:tc>
          <w:tcPr>
            <w:tcW w:w="2304" w:type="pct"/>
            <w:gridSpan w:val="4"/>
            <w:tcBorders>
              <w:top w:val="single" w:color="auto" w:sz="4" w:space="0"/>
              <w:left w:val="single" w:color="auto" w:sz="4" w:space="0"/>
              <w:bottom w:val="single" w:color="auto" w:sz="4" w:space="0"/>
              <w:right w:val="single" w:color="auto" w:sz="4" w:space="0"/>
            </w:tcBorders>
          </w:tcPr>
          <w:p>
            <w:pPr>
              <w:jc w:val="both"/>
              <w:rPr>
                <w:lang w:eastAsia="ru-RU"/>
              </w:rPr>
            </w:pPr>
            <w:r>
              <w:rPr>
                <w:lang w:eastAsia="ru-RU"/>
              </w:rPr>
              <w:t>ПР17. Виконувати розрахунки, що відносяться до сфери професійної діяльності.</w:t>
            </w:r>
          </w:p>
        </w:tc>
        <w:tc>
          <w:tcPr>
            <w:tcW w:w="890" w:type="pct"/>
            <w:tcBorders>
              <w:top w:val="single" w:color="auto" w:sz="4" w:space="0"/>
              <w:left w:val="single" w:color="auto" w:sz="4" w:space="0"/>
              <w:bottom w:val="single" w:color="auto" w:sz="4" w:space="0"/>
              <w:right w:val="single" w:color="auto" w:sz="4" w:space="0"/>
            </w:tcBorders>
          </w:tcPr>
          <w:p>
            <w:pPr>
              <w:jc w:val="center"/>
            </w:pPr>
            <w:r>
              <w:t>Обговорення під час занять, розрахункова робота</w:t>
            </w:r>
          </w:p>
        </w:tc>
        <w:tc>
          <w:tcPr>
            <w:tcW w:w="668" w:type="pct"/>
            <w:gridSpan w:val="2"/>
            <w:tcBorders>
              <w:top w:val="single" w:color="auto" w:sz="4" w:space="0"/>
              <w:left w:val="single" w:color="auto" w:sz="4" w:space="0"/>
              <w:bottom w:val="single" w:color="auto" w:sz="4" w:space="0"/>
              <w:right w:val="single" w:color="auto" w:sz="4" w:space="0"/>
            </w:tcBorders>
          </w:tcPr>
          <w:p>
            <w:pPr>
              <w:jc w:val="center"/>
              <w:rPr>
                <w:lang w:val="uk-UA"/>
              </w:rPr>
            </w:pPr>
            <w:r>
              <w:t>Лекції</w:t>
            </w:r>
          </w:p>
          <w:p>
            <w:pPr>
              <w:jc w:val="center"/>
              <w:rPr>
                <w:sz w:val="18"/>
                <w:szCs w:val="18"/>
                <w:lang w:val="ru-RU"/>
              </w:rPr>
            </w:pPr>
            <w:r>
              <w:rPr>
                <w:sz w:val="18"/>
                <w:szCs w:val="18"/>
                <w:lang w:val="ru-RU"/>
              </w:rPr>
              <w:t>Практичні  заняття</w:t>
            </w:r>
          </w:p>
          <w:p>
            <w:pPr>
              <w:jc w:val="center"/>
            </w:pPr>
            <w:r>
              <w:rPr>
                <w:sz w:val="18"/>
                <w:szCs w:val="18"/>
                <w:lang w:val="ru-RU"/>
              </w:rPr>
              <w:t>Консультації</w:t>
            </w:r>
          </w:p>
        </w:tc>
        <w:tc>
          <w:tcPr>
            <w:tcW w:w="648" w:type="pct"/>
            <w:gridSpan w:val="2"/>
            <w:tcBorders>
              <w:top w:val="single" w:color="auto" w:sz="4" w:space="0"/>
              <w:left w:val="single" w:color="auto" w:sz="4" w:space="0"/>
              <w:bottom w:val="single" w:color="auto" w:sz="4" w:space="0"/>
              <w:right w:val="double" w:color="auto" w:sz="4" w:space="0"/>
            </w:tcBorders>
          </w:tcPr>
          <w:p>
            <w:pPr>
              <w:jc w:val="center"/>
              <w:rPr>
                <w:sz w:val="18"/>
                <w:szCs w:val="18"/>
                <w:lang w:val="en-US"/>
              </w:rPr>
            </w:pPr>
            <w:r>
              <w:rPr>
                <w:sz w:val="18"/>
                <w:szCs w:val="18"/>
                <w:lang w:val="uk-UA"/>
              </w:rPr>
              <w:t xml:space="preserve">К22 </w:t>
            </w:r>
          </w:p>
          <w:p>
            <w:pPr>
              <w:jc w:val="center"/>
              <w:rPr>
                <w:sz w:val="18"/>
                <w:szCs w:val="18"/>
                <w:lang w:val="uk-UA"/>
              </w:rPr>
            </w:pPr>
            <w:r>
              <w:rPr>
                <w:sz w:val="18"/>
                <w:szCs w:val="18"/>
                <w:lang w:val="uk-UA"/>
              </w:rPr>
              <w:t>К2</w:t>
            </w:r>
            <w:r>
              <w:rPr>
                <w:sz w:val="18"/>
                <w:szCs w:val="18"/>
                <w:lang w:val="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490" w:type="pct"/>
            <w:gridSpan w:val="2"/>
            <w:tcBorders>
              <w:top w:val="single" w:color="auto" w:sz="4" w:space="0"/>
              <w:left w:val="double" w:color="auto" w:sz="4" w:space="0"/>
              <w:bottom w:val="single" w:color="auto" w:sz="4" w:space="0"/>
              <w:right w:val="single" w:color="auto" w:sz="4" w:space="0"/>
            </w:tcBorders>
          </w:tcPr>
          <w:p>
            <w:pPr>
              <w:jc w:val="center"/>
              <w:rPr>
                <w:sz w:val="18"/>
                <w:szCs w:val="18"/>
                <w:lang w:val="uk-UA"/>
              </w:rPr>
            </w:pPr>
            <w:r>
              <w:rPr>
                <w:sz w:val="18"/>
                <w:szCs w:val="18"/>
                <w:lang w:val="uk-UA"/>
              </w:rPr>
              <w:t>10.</w:t>
            </w:r>
          </w:p>
        </w:tc>
        <w:tc>
          <w:tcPr>
            <w:tcW w:w="2304" w:type="pct"/>
            <w:gridSpan w:val="4"/>
            <w:tcBorders>
              <w:top w:val="single" w:color="auto" w:sz="4" w:space="0"/>
              <w:left w:val="single" w:color="auto" w:sz="4" w:space="0"/>
              <w:bottom w:val="single" w:color="auto" w:sz="4" w:space="0"/>
              <w:right w:val="single" w:color="auto" w:sz="4" w:space="0"/>
            </w:tcBorders>
          </w:tcPr>
          <w:p>
            <w:pPr>
              <w:jc w:val="both"/>
              <w:rPr>
                <w:lang w:eastAsia="ru-RU"/>
              </w:rPr>
            </w:pPr>
            <w:r>
              <w:rPr>
                <w:lang w:eastAsia="ru-RU"/>
              </w:rPr>
              <w:t>ПР19.Уміти обирати і застосовувати необхідне устаткування, інструменти та методи для вирішення типових складних завдань у галузі (відповідно до спеціалізації)</w:t>
            </w:r>
          </w:p>
        </w:tc>
        <w:tc>
          <w:tcPr>
            <w:tcW w:w="890" w:type="pct"/>
            <w:tcBorders>
              <w:top w:val="single" w:color="auto" w:sz="4" w:space="0"/>
              <w:left w:val="single" w:color="auto" w:sz="4" w:space="0"/>
              <w:bottom w:val="single" w:color="auto" w:sz="4" w:space="0"/>
              <w:right w:val="single" w:color="auto" w:sz="4" w:space="0"/>
            </w:tcBorders>
          </w:tcPr>
          <w:p>
            <w:pPr>
              <w:jc w:val="center"/>
            </w:pPr>
            <w:r>
              <w:t>Обговорення під час занять, розрахункова робота</w:t>
            </w:r>
          </w:p>
        </w:tc>
        <w:tc>
          <w:tcPr>
            <w:tcW w:w="668" w:type="pct"/>
            <w:gridSpan w:val="2"/>
            <w:tcBorders>
              <w:top w:val="single" w:color="auto" w:sz="4" w:space="0"/>
              <w:left w:val="single" w:color="auto" w:sz="4" w:space="0"/>
              <w:bottom w:val="single" w:color="auto" w:sz="4" w:space="0"/>
              <w:right w:val="single" w:color="auto" w:sz="4" w:space="0"/>
            </w:tcBorders>
          </w:tcPr>
          <w:p>
            <w:pPr>
              <w:jc w:val="center"/>
              <w:rPr>
                <w:lang w:val="uk-UA"/>
              </w:rPr>
            </w:pPr>
            <w:r>
              <w:t>Лекції</w:t>
            </w:r>
          </w:p>
          <w:p>
            <w:pPr>
              <w:jc w:val="center"/>
              <w:rPr>
                <w:sz w:val="18"/>
                <w:szCs w:val="18"/>
                <w:lang w:val="ru-RU"/>
              </w:rPr>
            </w:pPr>
            <w:r>
              <w:rPr>
                <w:sz w:val="18"/>
                <w:szCs w:val="18"/>
                <w:lang w:val="ru-RU"/>
              </w:rPr>
              <w:t>Практичні  заняття</w:t>
            </w:r>
          </w:p>
          <w:p>
            <w:pPr>
              <w:jc w:val="center"/>
            </w:pPr>
            <w:r>
              <w:rPr>
                <w:sz w:val="18"/>
                <w:szCs w:val="18"/>
                <w:lang w:val="ru-RU"/>
              </w:rPr>
              <w:t>Консультації</w:t>
            </w:r>
          </w:p>
        </w:tc>
        <w:tc>
          <w:tcPr>
            <w:tcW w:w="648" w:type="pct"/>
            <w:gridSpan w:val="2"/>
            <w:tcBorders>
              <w:top w:val="single" w:color="auto" w:sz="4" w:space="0"/>
              <w:left w:val="single" w:color="auto" w:sz="4" w:space="0"/>
              <w:bottom w:val="single" w:color="auto" w:sz="4" w:space="0"/>
              <w:right w:val="double" w:color="auto" w:sz="4" w:space="0"/>
            </w:tcBorders>
          </w:tcPr>
          <w:p>
            <w:pPr>
              <w:jc w:val="center"/>
              <w:rPr>
                <w:sz w:val="18"/>
                <w:szCs w:val="18"/>
                <w:lang w:val="uk-UA"/>
              </w:rPr>
            </w:pPr>
            <w:r>
              <w:rPr>
                <w:sz w:val="18"/>
                <w:szCs w:val="18"/>
                <w:lang w:val="uk-UA"/>
              </w:rPr>
              <w:t>К23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5000" w:type="pct"/>
            <w:gridSpan w:val="11"/>
            <w:tcBorders>
              <w:top w:val="double" w:color="auto" w:sz="4" w:space="0"/>
              <w:left w:val="single" w:color="auto" w:sz="4" w:space="0"/>
              <w:bottom w:val="nil"/>
              <w:right w:val="single" w:color="auto" w:sz="4" w:space="0"/>
            </w:tcBorders>
          </w:tcPr>
          <w:p>
            <w:pPr>
              <w:keepNext/>
              <w:spacing w:before="40" w:after="40"/>
              <w:ind w:left="357" w:hanging="357"/>
              <w:rPr>
                <w:b/>
                <w:lang w:val="uk-UA"/>
              </w:rPr>
            </w:pPr>
            <w:r>
              <w:rPr>
                <w:b/>
                <w:lang w:val="uk-UA"/>
              </w:rPr>
              <w:t>16) Стуктура курсу: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417" w:type="pct"/>
            <w:tcBorders>
              <w:top w:val="nil"/>
              <w:left w:val="single" w:color="auto" w:sz="4" w:space="0"/>
              <w:bottom w:val="nil"/>
              <w:right w:val="single" w:color="auto" w:sz="4" w:space="0"/>
            </w:tcBorders>
          </w:tcPr>
          <w:p>
            <w:pPr>
              <w:keepNext/>
              <w:spacing w:after="40"/>
            </w:pPr>
          </w:p>
        </w:tc>
        <w:tc>
          <w:tcPr>
            <w:tcW w:w="980" w:type="pct"/>
            <w:gridSpan w:val="2"/>
            <w:tcBorders>
              <w:top w:val="single" w:color="auto" w:sz="4" w:space="0"/>
              <w:left w:val="single" w:color="auto" w:sz="4" w:space="0"/>
              <w:bottom w:val="single" w:color="auto" w:sz="4" w:space="0"/>
              <w:right w:val="single" w:color="auto" w:sz="4" w:space="0"/>
            </w:tcBorders>
            <w:vAlign w:val="center"/>
          </w:tcPr>
          <w:p>
            <w:pPr>
              <w:keepNext/>
              <w:spacing w:before="40" w:after="40"/>
              <w:jc w:val="center"/>
              <w:rPr>
                <w:lang w:val="uk-UA"/>
              </w:rPr>
            </w:pPr>
            <w:r>
              <w:rPr>
                <w:lang w:val="uk-UA"/>
              </w:rPr>
              <w:t>Лекції,</w:t>
            </w:r>
          </w:p>
          <w:p>
            <w:pPr>
              <w:keepNext/>
              <w:spacing w:before="40" w:after="40"/>
              <w:jc w:val="center"/>
              <w:rPr>
                <w:lang w:val="uk-UA"/>
              </w:rPr>
            </w:pPr>
            <w:r>
              <w:rPr>
                <w:lang w:val="uk-UA"/>
              </w:rPr>
              <w:t>год</w:t>
            </w:r>
          </w:p>
        </w:tc>
        <w:tc>
          <w:tcPr>
            <w:tcW w:w="580" w:type="pct"/>
            <w:tcBorders>
              <w:top w:val="single" w:color="auto" w:sz="4" w:space="0"/>
              <w:left w:val="single" w:color="auto" w:sz="4" w:space="0"/>
              <w:bottom w:val="single" w:color="auto" w:sz="4" w:space="0"/>
              <w:right w:val="single" w:color="auto" w:sz="4" w:space="0"/>
            </w:tcBorders>
            <w:vAlign w:val="center"/>
          </w:tcPr>
          <w:p>
            <w:pPr>
              <w:keepNext/>
              <w:spacing w:before="40" w:after="40"/>
              <w:jc w:val="center"/>
              <w:rPr>
                <w:lang w:val="uk-UA"/>
              </w:rPr>
            </w:pPr>
            <w:r>
              <w:rPr>
                <w:lang w:val="uk-UA"/>
              </w:rPr>
              <w:t>Практичне заняття,</w:t>
            </w:r>
          </w:p>
          <w:p>
            <w:pPr>
              <w:keepNext/>
              <w:spacing w:before="40" w:after="40"/>
              <w:jc w:val="center"/>
              <w:rPr>
                <w:lang w:val="uk-UA"/>
              </w:rPr>
            </w:pPr>
            <w:r>
              <w:rPr>
                <w:lang w:val="uk-UA"/>
              </w:rPr>
              <w:t>год</w:t>
            </w:r>
          </w:p>
        </w:tc>
        <w:tc>
          <w:tcPr>
            <w:tcW w:w="741" w:type="pct"/>
            <w:tcBorders>
              <w:top w:val="single" w:color="auto" w:sz="4" w:space="0"/>
              <w:left w:val="single" w:color="auto" w:sz="4" w:space="0"/>
              <w:bottom w:val="single" w:color="auto" w:sz="4" w:space="0"/>
              <w:right w:val="single" w:color="auto" w:sz="4" w:space="0"/>
            </w:tcBorders>
            <w:vAlign w:val="center"/>
          </w:tcPr>
          <w:p>
            <w:pPr>
              <w:keepNext/>
              <w:spacing w:before="40" w:after="40"/>
              <w:jc w:val="center"/>
              <w:rPr>
                <w:lang w:val="uk-UA"/>
              </w:rPr>
            </w:pPr>
            <w:r>
              <w:rPr>
                <w:lang w:val="uk-UA"/>
              </w:rPr>
              <w:t>Лабораторні заняття,</w:t>
            </w:r>
          </w:p>
          <w:p>
            <w:pPr>
              <w:keepNext/>
              <w:spacing w:before="40" w:after="40"/>
              <w:jc w:val="center"/>
              <w:rPr>
                <w:lang w:val="uk-UA"/>
              </w:rPr>
            </w:pPr>
            <w:r>
              <w:rPr>
                <w:lang w:val="uk-UA"/>
              </w:rPr>
              <w:t>год</w:t>
            </w:r>
          </w:p>
        </w:tc>
        <w:tc>
          <w:tcPr>
            <w:tcW w:w="1159" w:type="pct"/>
            <w:gridSpan w:val="3"/>
            <w:tcBorders>
              <w:top w:val="single" w:color="auto" w:sz="4" w:space="0"/>
              <w:left w:val="single" w:color="auto" w:sz="4" w:space="0"/>
              <w:bottom w:val="single" w:color="auto" w:sz="4" w:space="0"/>
              <w:right w:val="single" w:color="auto" w:sz="4" w:space="0"/>
            </w:tcBorders>
            <w:vAlign w:val="center"/>
          </w:tcPr>
          <w:p>
            <w:pPr>
              <w:keepNext/>
              <w:spacing w:before="40" w:after="40"/>
              <w:jc w:val="center"/>
              <w:rPr>
                <w:lang w:val="uk-UA"/>
              </w:rPr>
            </w:pPr>
            <w:r>
              <w:rPr>
                <w:lang w:val="uk-UA"/>
              </w:rPr>
              <w:t>Курсовий проект/курсова робота</w:t>
            </w:r>
          </w:p>
          <w:p>
            <w:pPr>
              <w:keepNext/>
              <w:spacing w:before="40" w:after="40"/>
              <w:jc w:val="center"/>
              <w:rPr>
                <w:lang w:val="uk-UA"/>
              </w:rPr>
            </w:pPr>
            <w:r>
              <w:rPr>
                <w:b/>
                <w:lang w:val="uk-UA"/>
              </w:rPr>
              <w:t>РГР</w:t>
            </w:r>
            <w:r>
              <w:rPr>
                <w:lang w:val="uk-UA"/>
              </w:rPr>
              <w:t>/Контрольна робота</w:t>
            </w:r>
          </w:p>
        </w:tc>
        <w:tc>
          <w:tcPr>
            <w:tcW w:w="579" w:type="pct"/>
            <w:gridSpan w:val="2"/>
            <w:tcBorders>
              <w:top w:val="single" w:color="auto" w:sz="4" w:space="0"/>
              <w:left w:val="single" w:color="auto" w:sz="4" w:space="0"/>
              <w:bottom w:val="single" w:color="auto" w:sz="4" w:space="0"/>
              <w:right w:val="single" w:color="auto" w:sz="4" w:space="0"/>
            </w:tcBorders>
            <w:vAlign w:val="center"/>
          </w:tcPr>
          <w:p>
            <w:pPr>
              <w:keepNext/>
              <w:spacing w:before="40" w:after="40"/>
              <w:jc w:val="center"/>
              <w:rPr>
                <w:lang w:val="uk-UA"/>
              </w:rPr>
            </w:pPr>
            <w:r>
              <w:rPr>
                <w:lang w:val="uk-UA"/>
              </w:rPr>
              <w:t>Самостійна робота здобувача,</w:t>
            </w:r>
          </w:p>
          <w:p>
            <w:pPr>
              <w:keepNext/>
              <w:spacing w:before="40" w:after="40"/>
              <w:jc w:val="center"/>
              <w:rPr>
                <w:lang w:val="uk-UA"/>
              </w:rPr>
            </w:pPr>
            <w:r>
              <w:rPr>
                <w:lang w:val="uk-UA"/>
              </w:rPr>
              <w:t>год</w:t>
            </w:r>
          </w:p>
        </w:tc>
        <w:tc>
          <w:tcPr>
            <w:tcW w:w="544" w:type="pct"/>
            <w:tcBorders>
              <w:top w:val="single" w:color="auto" w:sz="4" w:space="0"/>
              <w:left w:val="single" w:color="auto" w:sz="4" w:space="0"/>
              <w:bottom w:val="single" w:color="auto" w:sz="4" w:space="0"/>
              <w:right w:val="single" w:color="auto" w:sz="4" w:space="0"/>
            </w:tcBorders>
            <w:vAlign w:val="center"/>
          </w:tcPr>
          <w:p>
            <w:pPr>
              <w:jc w:val="center"/>
              <w:rPr>
                <w:lang w:val="uk-UA"/>
              </w:rPr>
            </w:pPr>
            <w:r>
              <w:rPr>
                <w:lang w:val="uk-UA"/>
              </w:rPr>
              <w:t>Форма підсумкового контролю</w:t>
            </w:r>
          </w:p>
          <w:p>
            <w:pPr>
              <w:keepNext/>
              <w:spacing w:before="40" w:after="40"/>
              <w:jc w:val="center"/>
              <w:rPr>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417" w:type="pct"/>
            <w:vMerge w:val="restart"/>
            <w:tcBorders>
              <w:top w:val="nil"/>
              <w:left w:val="single" w:color="auto" w:sz="4" w:space="0"/>
              <w:right w:val="single" w:color="auto" w:sz="4" w:space="0"/>
            </w:tcBorders>
          </w:tcPr>
          <w:p>
            <w:pPr>
              <w:spacing w:after="40"/>
            </w:pPr>
          </w:p>
        </w:tc>
        <w:tc>
          <w:tcPr>
            <w:tcW w:w="980" w:type="pct"/>
            <w:gridSpan w:val="2"/>
            <w:tcBorders>
              <w:top w:val="single" w:color="auto" w:sz="4" w:space="0"/>
              <w:left w:val="single" w:color="auto" w:sz="4" w:space="0"/>
              <w:bottom w:val="single" w:color="auto" w:sz="4" w:space="0"/>
              <w:right w:val="single" w:color="auto" w:sz="4" w:space="0"/>
            </w:tcBorders>
          </w:tcPr>
          <w:p>
            <w:pPr>
              <w:spacing w:before="40" w:after="40"/>
              <w:jc w:val="center"/>
              <w:rPr>
                <w:lang w:val="uk-UA"/>
              </w:rPr>
            </w:pPr>
            <w:r>
              <w:rPr>
                <w:lang w:val="uk-UA"/>
              </w:rPr>
              <w:t>58</w:t>
            </w:r>
          </w:p>
        </w:tc>
        <w:tc>
          <w:tcPr>
            <w:tcW w:w="580" w:type="pct"/>
            <w:tcBorders>
              <w:top w:val="single" w:color="auto" w:sz="4" w:space="0"/>
              <w:left w:val="single" w:color="auto" w:sz="4" w:space="0"/>
              <w:bottom w:val="single" w:color="auto" w:sz="4" w:space="0"/>
              <w:right w:val="single" w:color="auto" w:sz="4" w:space="0"/>
            </w:tcBorders>
          </w:tcPr>
          <w:p>
            <w:pPr>
              <w:spacing w:before="40" w:after="40"/>
              <w:jc w:val="center"/>
              <w:rPr>
                <w:lang w:val="uk-UA"/>
              </w:rPr>
            </w:pPr>
            <w:r>
              <w:rPr>
                <w:lang w:val="uk-UA"/>
              </w:rPr>
              <w:t>54</w:t>
            </w:r>
          </w:p>
        </w:tc>
        <w:tc>
          <w:tcPr>
            <w:tcW w:w="741" w:type="pct"/>
            <w:tcBorders>
              <w:top w:val="single" w:color="auto" w:sz="4" w:space="0"/>
              <w:left w:val="single" w:color="auto" w:sz="4" w:space="0"/>
              <w:bottom w:val="single" w:color="auto" w:sz="4" w:space="0"/>
              <w:right w:val="single" w:color="auto" w:sz="4" w:space="0"/>
            </w:tcBorders>
          </w:tcPr>
          <w:p>
            <w:pPr>
              <w:spacing w:before="40" w:after="40"/>
              <w:jc w:val="center"/>
              <w:rPr>
                <w:lang w:val="uk-UA"/>
              </w:rPr>
            </w:pPr>
            <w:r>
              <w:rPr>
                <w:lang w:val="uk-UA"/>
              </w:rPr>
              <w:t xml:space="preserve">- </w:t>
            </w:r>
          </w:p>
        </w:tc>
        <w:tc>
          <w:tcPr>
            <w:tcW w:w="1159" w:type="pct"/>
            <w:gridSpan w:val="3"/>
            <w:tcBorders>
              <w:top w:val="single" w:color="auto" w:sz="4" w:space="0"/>
              <w:left w:val="single" w:color="auto" w:sz="4" w:space="0"/>
              <w:bottom w:val="single" w:color="auto" w:sz="4" w:space="0"/>
              <w:right w:val="single" w:color="auto" w:sz="4" w:space="0"/>
            </w:tcBorders>
          </w:tcPr>
          <w:p>
            <w:pPr>
              <w:spacing w:before="40" w:after="40"/>
              <w:jc w:val="center"/>
              <w:rPr>
                <w:lang w:val="uk-UA"/>
              </w:rPr>
            </w:pPr>
            <w:r>
              <w:rPr>
                <w:lang w:val="uk-UA"/>
              </w:rPr>
              <w:t>8 РКР</w:t>
            </w:r>
          </w:p>
        </w:tc>
        <w:tc>
          <w:tcPr>
            <w:tcW w:w="579" w:type="pct"/>
            <w:gridSpan w:val="2"/>
            <w:tcBorders>
              <w:top w:val="single" w:color="auto" w:sz="4" w:space="0"/>
              <w:left w:val="single" w:color="auto" w:sz="4" w:space="0"/>
              <w:bottom w:val="single" w:color="auto" w:sz="4" w:space="0"/>
              <w:right w:val="single" w:color="auto" w:sz="4" w:space="0"/>
            </w:tcBorders>
          </w:tcPr>
          <w:p>
            <w:pPr>
              <w:spacing w:before="40" w:after="40"/>
              <w:jc w:val="center"/>
              <w:rPr>
                <w:lang w:val="uk-UA"/>
              </w:rPr>
            </w:pPr>
            <w:r>
              <w:rPr>
                <w:lang w:val="uk-UA"/>
              </w:rPr>
              <w:t>128</w:t>
            </w:r>
          </w:p>
        </w:tc>
        <w:tc>
          <w:tcPr>
            <w:tcW w:w="544" w:type="pct"/>
            <w:tcBorders>
              <w:top w:val="single" w:color="auto" w:sz="4" w:space="0"/>
              <w:left w:val="single" w:color="auto" w:sz="4" w:space="0"/>
              <w:bottom w:val="single" w:color="auto" w:sz="4" w:space="0"/>
              <w:right w:val="single" w:color="auto" w:sz="4" w:space="0"/>
            </w:tcBorders>
          </w:tcPr>
          <w:p>
            <w:pPr>
              <w:spacing w:before="40" w:after="40"/>
              <w:jc w:val="center"/>
              <w:rPr>
                <w:lang w:val="uk-UA"/>
              </w:rPr>
            </w:pPr>
            <w:r>
              <w:rPr>
                <w:lang w:val="uk-UA"/>
              </w:rPr>
              <w:t>екзамен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417" w:type="pct"/>
            <w:vMerge w:val="continue"/>
            <w:tcBorders>
              <w:left w:val="single" w:color="auto" w:sz="4" w:space="0"/>
              <w:right w:val="single" w:color="auto" w:sz="4" w:space="0"/>
            </w:tcBorders>
          </w:tcPr>
          <w:p>
            <w:pPr>
              <w:spacing w:after="40"/>
            </w:pPr>
          </w:p>
        </w:tc>
        <w:tc>
          <w:tcPr>
            <w:tcW w:w="2301" w:type="pct"/>
            <w:gridSpan w:val="4"/>
            <w:tcBorders>
              <w:top w:val="single" w:color="auto" w:sz="4" w:space="0"/>
              <w:left w:val="single" w:color="auto" w:sz="4" w:space="0"/>
              <w:bottom w:val="single" w:color="auto" w:sz="4" w:space="0"/>
              <w:right w:val="single" w:color="auto" w:sz="4" w:space="0"/>
            </w:tcBorders>
          </w:tcPr>
          <w:p>
            <w:pPr>
              <w:spacing w:before="40" w:after="40"/>
              <w:rPr>
                <w:lang w:val="uk-UA"/>
              </w:rPr>
            </w:pPr>
            <w:r>
              <w:t>Сума годин:</w:t>
            </w:r>
          </w:p>
        </w:tc>
        <w:tc>
          <w:tcPr>
            <w:tcW w:w="2282" w:type="pct"/>
            <w:gridSpan w:val="6"/>
            <w:tcBorders>
              <w:top w:val="single" w:color="auto" w:sz="4" w:space="0"/>
              <w:left w:val="single" w:color="auto" w:sz="4" w:space="0"/>
              <w:bottom w:val="single" w:color="auto" w:sz="4" w:space="0"/>
              <w:right w:val="single" w:color="auto" w:sz="4" w:space="0"/>
            </w:tcBorders>
            <w:vAlign w:val="center"/>
          </w:tcPr>
          <w:p>
            <w:pPr>
              <w:spacing w:before="40" w:after="40"/>
              <w:jc w:val="center"/>
              <w:rPr>
                <w:lang w:val="uk-UA"/>
              </w:rPr>
            </w:pPr>
            <w:r>
              <w:rPr>
                <w:lang w:val="uk-UA"/>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417" w:type="pct"/>
            <w:vMerge w:val="continue"/>
            <w:tcBorders>
              <w:left w:val="single" w:color="auto" w:sz="4" w:space="0"/>
              <w:right w:val="single" w:color="auto" w:sz="4" w:space="0"/>
            </w:tcBorders>
          </w:tcPr>
          <w:p>
            <w:pPr>
              <w:spacing w:after="40"/>
            </w:pPr>
          </w:p>
        </w:tc>
        <w:tc>
          <w:tcPr>
            <w:tcW w:w="2301" w:type="pct"/>
            <w:gridSpan w:val="4"/>
            <w:tcBorders>
              <w:top w:val="single" w:color="auto" w:sz="4" w:space="0"/>
              <w:left w:val="single" w:color="auto" w:sz="4" w:space="0"/>
              <w:bottom w:val="single" w:color="auto" w:sz="4" w:space="0"/>
              <w:right w:val="single" w:color="auto" w:sz="4" w:space="0"/>
            </w:tcBorders>
          </w:tcPr>
          <w:p>
            <w:pPr>
              <w:spacing w:before="40" w:after="40"/>
              <w:rPr>
                <w:lang w:val="uk-UA"/>
              </w:rPr>
            </w:pPr>
            <w:r>
              <w:t>Загальні кількість кредитів ECTS:</w:t>
            </w:r>
          </w:p>
        </w:tc>
        <w:tc>
          <w:tcPr>
            <w:tcW w:w="2282" w:type="pct"/>
            <w:gridSpan w:val="6"/>
            <w:tcBorders>
              <w:top w:val="single" w:color="auto" w:sz="4" w:space="0"/>
              <w:left w:val="single" w:color="auto" w:sz="4" w:space="0"/>
              <w:bottom w:val="single" w:color="auto" w:sz="4" w:space="0"/>
              <w:right w:val="single" w:color="auto" w:sz="4" w:space="0"/>
            </w:tcBorders>
            <w:vAlign w:val="center"/>
          </w:tcPr>
          <w:p>
            <w:pPr>
              <w:spacing w:before="40" w:after="40"/>
              <w:jc w:val="center"/>
              <w:rPr>
                <w:lang w:val="uk-UA"/>
              </w:rPr>
            </w:pPr>
            <w:r>
              <w:rPr>
                <w:bCs/>
                <w:lang w:val="uk-UA"/>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417" w:type="pct"/>
            <w:vMerge w:val="continue"/>
            <w:tcBorders>
              <w:left w:val="single" w:color="auto" w:sz="4" w:space="0"/>
              <w:bottom w:val="nil"/>
              <w:right w:val="single" w:color="auto" w:sz="4" w:space="0"/>
            </w:tcBorders>
          </w:tcPr>
          <w:p>
            <w:pPr>
              <w:spacing w:after="40"/>
            </w:pPr>
          </w:p>
        </w:tc>
        <w:tc>
          <w:tcPr>
            <w:tcW w:w="2301" w:type="pct"/>
            <w:gridSpan w:val="4"/>
            <w:tcBorders>
              <w:top w:val="single" w:color="auto" w:sz="4" w:space="0"/>
              <w:left w:val="single" w:color="auto" w:sz="4" w:space="0"/>
              <w:bottom w:val="single" w:color="auto" w:sz="4" w:space="0"/>
              <w:right w:val="single" w:color="auto" w:sz="4" w:space="0"/>
            </w:tcBorders>
          </w:tcPr>
          <w:p>
            <w:pPr>
              <w:spacing w:before="40" w:after="40"/>
              <w:rPr>
                <w:lang w:val="uk-UA"/>
              </w:rPr>
            </w:pPr>
            <w:r>
              <w:t>Кількість годин (кредитів ECTS) аудиторного навантаження</w:t>
            </w:r>
          </w:p>
        </w:tc>
        <w:tc>
          <w:tcPr>
            <w:tcW w:w="2282" w:type="pct"/>
            <w:gridSpan w:val="6"/>
            <w:tcBorders>
              <w:top w:val="single" w:color="auto" w:sz="4" w:space="0"/>
              <w:left w:val="single" w:color="auto" w:sz="4" w:space="0"/>
              <w:bottom w:val="single" w:color="auto" w:sz="4" w:space="0"/>
              <w:right w:val="single" w:color="auto" w:sz="4" w:space="0"/>
            </w:tcBorders>
            <w:vAlign w:val="center"/>
          </w:tcPr>
          <w:p>
            <w:pPr>
              <w:spacing w:before="40" w:after="40"/>
              <w:jc w:val="center"/>
              <w:rPr>
                <w:lang w:val="uk-UA"/>
              </w:rPr>
            </w:pPr>
            <w:r>
              <w:rPr>
                <w:bCs/>
                <w:lang w:val="uk-UA"/>
              </w:rPr>
              <w:t>112 (3.1)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5000" w:type="pct"/>
            <w:gridSpan w:val="11"/>
            <w:tcBorders>
              <w:top w:val="nil"/>
              <w:left w:val="single" w:color="auto" w:sz="4" w:space="0"/>
              <w:bottom w:val="single" w:color="auto" w:sz="4" w:space="0"/>
              <w:right w:val="single" w:color="auto" w:sz="4" w:space="0"/>
            </w:tcBorders>
          </w:tcPr>
          <w:p>
            <w:pPr>
              <w:jc w:val="both"/>
              <w:rPr>
                <w:b/>
              </w:rPr>
            </w:pPr>
            <w:r>
              <w:rPr>
                <w:b/>
                <w:lang w:val="uk-UA"/>
              </w:rPr>
              <w:t xml:space="preserve">17) </w:t>
            </w:r>
            <w:r>
              <w:rPr>
                <w:b/>
              </w:rPr>
              <w:t>Зміст</w:t>
            </w:r>
            <w:r>
              <w:rPr>
                <w:b/>
                <w:lang w:val="ru-RU"/>
              </w:rPr>
              <w:t xml:space="preserve"> курсу</w:t>
            </w:r>
            <w:r>
              <w:rPr>
                <w:b/>
              </w:rPr>
              <w:t>: (окремо для к</w:t>
            </w:r>
            <w:r>
              <w:rPr>
                <w:b/>
                <w:lang w:val="uk-UA"/>
              </w:rPr>
              <w:t>ожної</w:t>
            </w:r>
            <w:r>
              <w:rPr>
                <w:b/>
              </w:rPr>
              <w:t xml:space="preserve"> форми занять – Л/Пр/Лаб/ КР/СРС)</w:t>
            </w:r>
          </w:p>
          <w:p>
            <w:pPr>
              <w:tabs>
                <w:tab w:val="left" w:pos="567"/>
                <w:tab w:val="left" w:pos="1080"/>
              </w:tabs>
              <w:jc w:val="both"/>
              <w:rPr>
                <w:lang w:val="uk-UA"/>
              </w:rPr>
            </w:pPr>
            <w:r>
              <w:rPr>
                <w:b/>
                <w:lang w:val="uk-UA"/>
              </w:rPr>
              <w:t xml:space="preserve">          </w:t>
            </w:r>
            <w:r>
              <w:rPr>
                <w:b/>
              </w:rPr>
              <w:t>Лекц</w:t>
            </w:r>
            <w:r>
              <w:rPr>
                <w:b/>
                <w:lang w:val="uk-UA"/>
              </w:rPr>
              <w:t>ії</w:t>
            </w:r>
            <w:r>
              <w:rPr>
                <w:b/>
              </w:rPr>
              <w:t>:</w:t>
            </w:r>
            <w:r>
              <w:rPr>
                <w:lang w:val="uk-UA"/>
              </w:rPr>
              <w:t xml:space="preserve"> </w:t>
            </w:r>
          </w:p>
          <w:p>
            <w:pPr>
              <w:tabs>
                <w:tab w:val="left" w:pos="284"/>
                <w:tab w:val="left" w:pos="567"/>
              </w:tabs>
              <w:ind w:firstLine="360"/>
              <w:jc w:val="center"/>
              <w:rPr>
                <w:rFonts w:eastAsia="Times New Roman"/>
                <w:b/>
                <w:lang w:val="uk-UA" w:eastAsia="ru-RU"/>
              </w:rPr>
            </w:pPr>
            <w:r>
              <w:rPr>
                <w:rFonts w:eastAsia="Times New Roman"/>
                <w:b/>
                <w:lang w:val="uk-UA" w:eastAsia="ru-RU"/>
              </w:rPr>
              <w:t>Модуль 1. Лінійна алгебра та елементи аналітичної геометрії. Диференціальне числення функції однієї змінної.</w:t>
            </w:r>
          </w:p>
          <w:p>
            <w:pPr>
              <w:tabs>
                <w:tab w:val="left" w:pos="284"/>
                <w:tab w:val="left" w:pos="567"/>
              </w:tabs>
              <w:ind w:firstLine="360"/>
              <w:rPr>
                <w:rFonts w:eastAsia="Times New Roman"/>
                <w:b/>
                <w:lang w:val="uk-UA" w:eastAsia="ru-RU"/>
              </w:rPr>
            </w:pPr>
            <w:r>
              <w:rPr>
                <w:rFonts w:eastAsia="Times New Roman"/>
                <w:b/>
                <w:lang w:val="uk-UA" w:eastAsia="ru-RU"/>
              </w:rPr>
              <w:t>Змістовий модуль 1. Лінійна алгебра і елементи аналітичної геометрії.</w:t>
            </w:r>
          </w:p>
          <w:p>
            <w:pPr>
              <w:tabs>
                <w:tab w:val="left" w:pos="284"/>
                <w:tab w:val="left" w:pos="567"/>
              </w:tabs>
              <w:ind w:firstLine="360"/>
              <w:jc w:val="both"/>
              <w:rPr>
                <w:rFonts w:eastAsia="Times New Roman"/>
                <w:b/>
                <w:lang w:val="uk-UA" w:eastAsia="ru-RU"/>
              </w:rPr>
            </w:pPr>
            <w:r>
              <w:rPr>
                <w:rFonts w:eastAsia="Times New Roman"/>
                <w:b/>
                <w:lang w:val="uk-UA" w:eastAsia="ru-RU"/>
              </w:rPr>
              <w:t>Тема 1. Системи лінійних рівнянь та векторний аналіз.</w:t>
            </w:r>
          </w:p>
          <w:p>
            <w:pPr>
              <w:tabs>
                <w:tab w:val="left" w:pos="284"/>
                <w:tab w:val="left" w:pos="567"/>
              </w:tabs>
              <w:ind w:firstLine="360"/>
              <w:jc w:val="both"/>
              <w:rPr>
                <w:rFonts w:eastAsia="Times New Roman"/>
                <w:lang w:val="uk-UA" w:eastAsia="ru-RU"/>
              </w:rPr>
            </w:pPr>
            <w:r>
              <w:rPr>
                <w:rFonts w:eastAsia="Times New Roman"/>
                <w:lang w:val="uk-UA" w:eastAsia="ru-RU"/>
              </w:rPr>
              <w:t>Матриці. Операції над матрицями.</w:t>
            </w:r>
          </w:p>
          <w:p>
            <w:pPr>
              <w:tabs>
                <w:tab w:val="left" w:pos="284"/>
                <w:tab w:val="left" w:pos="567"/>
              </w:tabs>
              <w:ind w:firstLine="360"/>
              <w:jc w:val="both"/>
              <w:rPr>
                <w:rFonts w:eastAsia="Times New Roman"/>
                <w:lang w:val="uk-UA" w:eastAsia="ru-RU"/>
              </w:rPr>
            </w:pPr>
            <w:r>
              <w:rPr>
                <w:rFonts w:eastAsia="Times New Roman"/>
                <w:lang w:val="uk-UA" w:eastAsia="ru-RU"/>
              </w:rPr>
              <w:t xml:space="preserve">Детермінанти 2-го, 3-го, </w:t>
            </w:r>
            <w:r>
              <w:rPr>
                <w:rFonts w:eastAsia="Times New Roman"/>
                <w:lang w:val="en-US" w:eastAsia="ru-RU"/>
              </w:rPr>
              <w:t>n</w:t>
            </w:r>
            <w:r>
              <w:rPr>
                <w:rFonts w:eastAsia="Times New Roman"/>
                <w:lang w:val="ru-RU" w:eastAsia="ru-RU"/>
              </w:rPr>
              <w:t>-</w:t>
            </w:r>
            <w:r>
              <w:rPr>
                <w:rFonts w:eastAsia="Times New Roman"/>
                <w:lang w:val="uk-UA" w:eastAsia="ru-RU"/>
              </w:rPr>
              <w:t>го  порядку. Мінори та алгебраїчні доповнення. Розкладання детермінанта по рядку (по стовпчику).</w:t>
            </w:r>
          </w:p>
          <w:p>
            <w:pPr>
              <w:tabs>
                <w:tab w:val="left" w:pos="284"/>
                <w:tab w:val="left" w:pos="567"/>
              </w:tabs>
              <w:ind w:firstLine="360"/>
              <w:jc w:val="both"/>
              <w:rPr>
                <w:rFonts w:eastAsia="Times New Roman"/>
                <w:lang w:val="uk-UA" w:eastAsia="ru-RU"/>
              </w:rPr>
            </w:pPr>
            <w:r>
              <w:rPr>
                <w:rFonts w:eastAsia="Times New Roman"/>
                <w:lang w:val="uk-UA" w:eastAsia="ru-RU"/>
              </w:rPr>
              <w:t>Обернена матриця. Існування, знаходження, властивості.</w:t>
            </w:r>
          </w:p>
          <w:p>
            <w:pPr>
              <w:tabs>
                <w:tab w:val="left" w:pos="284"/>
                <w:tab w:val="left" w:pos="567"/>
              </w:tabs>
              <w:ind w:firstLine="360"/>
              <w:jc w:val="both"/>
              <w:rPr>
                <w:rFonts w:eastAsia="Times New Roman"/>
                <w:lang w:val="uk-UA" w:eastAsia="ru-RU"/>
              </w:rPr>
            </w:pPr>
            <w:r>
              <w:rPr>
                <w:rFonts w:eastAsia="Times New Roman"/>
                <w:lang w:val="uk-UA" w:eastAsia="ru-RU"/>
              </w:rPr>
              <w:t>Системи лінійних рівнянь. Загальні поняття. Розв’язання за допомогою оберненої матриці, за правилом Крамера, методом Гауса.</w:t>
            </w:r>
          </w:p>
          <w:p>
            <w:pPr>
              <w:tabs>
                <w:tab w:val="left" w:pos="284"/>
                <w:tab w:val="left" w:pos="567"/>
              </w:tabs>
              <w:ind w:firstLine="360"/>
              <w:jc w:val="both"/>
              <w:rPr>
                <w:rFonts w:eastAsia="Times New Roman"/>
                <w:lang w:val="uk-UA" w:eastAsia="ru-RU"/>
              </w:rPr>
            </w:pPr>
            <w:r>
              <w:rPr>
                <w:rFonts w:eastAsia="Times New Roman"/>
                <w:lang w:val="uk-UA" w:eastAsia="ru-RU"/>
              </w:rPr>
              <w:t xml:space="preserve">Геометричні вектори. Лінійні операції, властивості. Базис у просторах </w:t>
            </w:r>
            <w:r>
              <w:rPr>
                <w:rFonts w:eastAsia="Times New Roman"/>
                <w:lang w:val="en-US" w:eastAsia="ru-RU"/>
              </w:rPr>
              <w:t>V</w:t>
            </w:r>
            <w:r>
              <w:rPr>
                <w:rFonts w:eastAsia="Times New Roman"/>
                <w:lang w:val="uk-UA" w:eastAsia="ru-RU"/>
              </w:rPr>
              <w:t xml:space="preserve">1, </w:t>
            </w:r>
            <w:r>
              <w:rPr>
                <w:rFonts w:eastAsia="Times New Roman"/>
                <w:lang w:val="en-US" w:eastAsia="ru-RU"/>
              </w:rPr>
              <w:t>V</w:t>
            </w:r>
            <w:r>
              <w:rPr>
                <w:rFonts w:eastAsia="Times New Roman"/>
                <w:lang w:val="uk-UA" w:eastAsia="ru-RU"/>
              </w:rPr>
              <w:t xml:space="preserve">2, </w:t>
            </w:r>
            <w:r>
              <w:rPr>
                <w:rFonts w:eastAsia="Times New Roman"/>
                <w:lang w:val="en-US" w:eastAsia="ru-RU"/>
              </w:rPr>
              <w:t>V</w:t>
            </w:r>
            <w:r>
              <w:rPr>
                <w:rFonts w:eastAsia="Times New Roman"/>
                <w:lang w:val="uk-UA" w:eastAsia="ru-RU"/>
              </w:rPr>
              <w:t>3. Координати вектора. Лінійні операції у координатах. Декартова система координат. Зв'язок координат вектору із координатами його початку та кінця.</w:t>
            </w:r>
          </w:p>
          <w:p>
            <w:pPr>
              <w:tabs>
                <w:tab w:val="left" w:pos="284"/>
                <w:tab w:val="left" w:pos="567"/>
              </w:tabs>
              <w:ind w:firstLine="360"/>
              <w:jc w:val="both"/>
              <w:rPr>
                <w:rFonts w:eastAsia="Times New Roman"/>
                <w:lang w:val="uk-UA" w:eastAsia="ru-RU"/>
              </w:rPr>
            </w:pPr>
            <w:r>
              <w:rPr>
                <w:rFonts w:eastAsia="Times New Roman"/>
                <w:lang w:val="uk-UA" w:eastAsia="ru-RU"/>
              </w:rPr>
              <w:t>Скалярний добуток векторів. Геометричні та алгебраїчні властивості, фізичний сенс, обчислення у координатах. Знаходження довжини вектору та куту між векторами за їхніми координатами. Напрямні косинуси. Проекція вектору на вектор.</w:t>
            </w:r>
          </w:p>
          <w:p>
            <w:pPr>
              <w:tabs>
                <w:tab w:val="left" w:pos="284"/>
                <w:tab w:val="left" w:pos="567"/>
              </w:tabs>
              <w:ind w:firstLine="360"/>
              <w:jc w:val="both"/>
              <w:rPr>
                <w:rFonts w:eastAsia="Times New Roman"/>
                <w:lang w:val="uk-UA" w:eastAsia="ru-RU"/>
              </w:rPr>
            </w:pPr>
            <w:r>
              <w:rPr>
                <w:rFonts w:eastAsia="Times New Roman"/>
                <w:lang w:val="uk-UA" w:eastAsia="ru-RU"/>
              </w:rPr>
              <w:t>Векторний добуток векторів. Геометричні та алгебраїчні властивості, фізичний сенс, обчислення у координатах.</w:t>
            </w:r>
          </w:p>
          <w:p>
            <w:pPr>
              <w:tabs>
                <w:tab w:val="left" w:pos="284"/>
                <w:tab w:val="left" w:pos="567"/>
              </w:tabs>
              <w:ind w:firstLine="360"/>
              <w:jc w:val="both"/>
              <w:rPr>
                <w:rFonts w:eastAsia="Times New Roman"/>
                <w:lang w:val="uk-UA" w:eastAsia="ru-RU"/>
              </w:rPr>
            </w:pPr>
            <w:r>
              <w:rPr>
                <w:rFonts w:eastAsia="Times New Roman"/>
                <w:lang w:val="uk-UA" w:eastAsia="ru-RU"/>
              </w:rPr>
              <w:t>Змішаний добуток векторів. Геометричні та алгебраїчні властивості, обчислення у координатах.</w:t>
            </w:r>
          </w:p>
          <w:p>
            <w:pPr>
              <w:tabs>
                <w:tab w:val="left" w:pos="284"/>
                <w:tab w:val="left" w:pos="567"/>
              </w:tabs>
              <w:ind w:firstLine="360"/>
              <w:jc w:val="both"/>
              <w:rPr>
                <w:rFonts w:eastAsia="Times New Roman"/>
                <w:lang w:val="uk-UA" w:eastAsia="ru-RU"/>
              </w:rPr>
            </w:pPr>
            <w:r>
              <w:rPr>
                <w:rFonts w:eastAsia="Times New Roman"/>
                <w:lang w:val="uk-UA" w:eastAsia="ru-RU"/>
              </w:rPr>
              <w:t>Ранг матриці та лінійна залежність.</w:t>
            </w:r>
          </w:p>
          <w:p>
            <w:pPr>
              <w:tabs>
                <w:tab w:val="left" w:pos="284"/>
                <w:tab w:val="left" w:pos="567"/>
              </w:tabs>
              <w:ind w:firstLine="360"/>
              <w:jc w:val="both"/>
              <w:rPr>
                <w:rFonts w:eastAsia="Times New Roman"/>
                <w:lang w:val="uk-UA" w:eastAsia="ru-RU"/>
              </w:rPr>
            </w:pPr>
            <w:r>
              <w:rPr>
                <w:rFonts w:eastAsia="Times New Roman"/>
                <w:lang w:val="uk-UA" w:eastAsia="ru-RU"/>
              </w:rPr>
              <w:t xml:space="preserve">Теорія систем лінійних рівнянь. Нетривіальна сумісність однорідної системи, структура множини розв’язків. Критерій сумісності та загальний розв’язок неоднорідної системи. </w:t>
            </w:r>
          </w:p>
          <w:p>
            <w:pPr>
              <w:tabs>
                <w:tab w:val="left" w:pos="284"/>
                <w:tab w:val="left" w:pos="567"/>
              </w:tabs>
              <w:ind w:firstLine="360"/>
              <w:jc w:val="both"/>
              <w:rPr>
                <w:rFonts w:eastAsia="Times New Roman"/>
                <w:lang w:val="uk-UA" w:eastAsia="ru-RU"/>
              </w:rPr>
            </w:pPr>
            <w:r>
              <w:rPr>
                <w:rFonts w:eastAsia="Times New Roman"/>
                <w:b/>
                <w:lang w:val="uk-UA" w:eastAsia="ru-RU"/>
              </w:rPr>
              <w:t>Тема 2. Елементи аналітичної геометрії.</w:t>
            </w:r>
          </w:p>
          <w:p>
            <w:pPr>
              <w:tabs>
                <w:tab w:val="left" w:pos="284"/>
                <w:tab w:val="left" w:pos="567"/>
              </w:tabs>
              <w:ind w:firstLine="360"/>
              <w:jc w:val="both"/>
              <w:rPr>
                <w:rFonts w:eastAsia="Times New Roman"/>
                <w:lang w:val="uk-UA" w:eastAsia="ru-RU"/>
              </w:rPr>
            </w:pPr>
            <w:r>
              <w:rPr>
                <w:rFonts w:eastAsia="Times New Roman"/>
                <w:lang w:val="uk-UA" w:eastAsia="ru-RU"/>
              </w:rPr>
              <w:t>Рівняння лінії на площині. Явні та неявні рівняння. Параметричні рівняння.</w:t>
            </w:r>
          </w:p>
          <w:p>
            <w:pPr>
              <w:tabs>
                <w:tab w:val="left" w:pos="284"/>
                <w:tab w:val="left" w:pos="567"/>
              </w:tabs>
              <w:ind w:firstLine="360"/>
              <w:jc w:val="both"/>
              <w:rPr>
                <w:rFonts w:eastAsia="Times New Roman"/>
                <w:lang w:val="uk-UA" w:eastAsia="ru-RU"/>
              </w:rPr>
            </w:pPr>
            <w:r>
              <w:rPr>
                <w:rFonts w:eastAsia="Times New Roman"/>
                <w:lang w:val="uk-UA" w:eastAsia="ru-RU"/>
              </w:rPr>
              <w:t>Пряма лінія на площині. Різні види рівнянь прямої. Типові задачі на пряму лінію на площині.</w:t>
            </w:r>
          </w:p>
          <w:p>
            <w:pPr>
              <w:tabs>
                <w:tab w:val="left" w:pos="284"/>
                <w:tab w:val="left" w:pos="567"/>
              </w:tabs>
              <w:ind w:firstLine="360"/>
              <w:jc w:val="both"/>
              <w:rPr>
                <w:rFonts w:eastAsia="Times New Roman"/>
                <w:lang w:val="uk-UA" w:eastAsia="ru-RU"/>
              </w:rPr>
            </w:pPr>
            <w:r>
              <w:rPr>
                <w:rFonts w:eastAsia="Times New Roman"/>
                <w:lang w:val="uk-UA" w:eastAsia="ru-RU"/>
              </w:rPr>
              <w:t>Криві другого порядку. Властивості, канонічні рівняння.</w:t>
            </w:r>
          </w:p>
          <w:p>
            <w:pPr>
              <w:tabs>
                <w:tab w:val="left" w:pos="284"/>
                <w:tab w:val="left" w:pos="567"/>
              </w:tabs>
              <w:ind w:firstLine="360"/>
              <w:jc w:val="both"/>
              <w:rPr>
                <w:rFonts w:eastAsia="Times New Roman"/>
                <w:lang w:val="uk-UA" w:eastAsia="ru-RU"/>
              </w:rPr>
            </w:pPr>
            <w:r>
              <w:rPr>
                <w:rFonts w:eastAsia="Times New Roman"/>
                <w:lang w:val="uk-UA" w:eastAsia="ru-RU"/>
              </w:rPr>
              <w:t>Квадратичні форми. Приведення рівнянь другого порядку до канонічного виду.</w:t>
            </w:r>
          </w:p>
          <w:p>
            <w:pPr>
              <w:tabs>
                <w:tab w:val="left" w:pos="284"/>
                <w:tab w:val="left" w:pos="567"/>
              </w:tabs>
              <w:ind w:firstLine="360"/>
              <w:jc w:val="both"/>
              <w:rPr>
                <w:rFonts w:eastAsia="Times New Roman"/>
                <w:lang w:val="uk-UA" w:eastAsia="ru-RU"/>
              </w:rPr>
            </w:pPr>
            <w:r>
              <w:rPr>
                <w:rFonts w:eastAsia="Times New Roman"/>
                <w:lang w:val="uk-UA" w:eastAsia="ru-RU"/>
              </w:rPr>
              <w:t>Полярна система координат на площині. Рівняння кривої у полярній системі координат.</w:t>
            </w:r>
          </w:p>
          <w:p>
            <w:pPr>
              <w:tabs>
                <w:tab w:val="left" w:pos="284"/>
                <w:tab w:val="left" w:pos="567"/>
              </w:tabs>
              <w:ind w:firstLine="360"/>
              <w:jc w:val="both"/>
              <w:rPr>
                <w:rFonts w:eastAsia="Times New Roman"/>
                <w:lang w:val="uk-UA" w:eastAsia="ru-RU"/>
              </w:rPr>
            </w:pPr>
            <w:r>
              <w:rPr>
                <w:rFonts w:eastAsia="Times New Roman"/>
                <w:lang w:val="uk-UA" w:eastAsia="ru-RU"/>
              </w:rPr>
              <w:t>Рівняння поверхні у декартових координатах. Площина. Різні види рівнянь площини.</w:t>
            </w:r>
          </w:p>
          <w:p>
            <w:pPr>
              <w:tabs>
                <w:tab w:val="left" w:pos="284"/>
                <w:tab w:val="left" w:pos="567"/>
              </w:tabs>
              <w:ind w:firstLine="360"/>
              <w:jc w:val="both"/>
              <w:rPr>
                <w:rFonts w:eastAsia="Times New Roman"/>
                <w:lang w:val="uk-UA" w:eastAsia="ru-RU"/>
              </w:rPr>
            </w:pPr>
            <w:r>
              <w:rPr>
                <w:rFonts w:eastAsia="Times New Roman"/>
                <w:lang w:val="uk-UA" w:eastAsia="ru-RU"/>
              </w:rPr>
              <w:t>Пряма у просторі. Різні види рівнянь прямої.</w:t>
            </w:r>
          </w:p>
          <w:p>
            <w:pPr>
              <w:tabs>
                <w:tab w:val="left" w:pos="284"/>
                <w:tab w:val="left" w:pos="567"/>
              </w:tabs>
              <w:ind w:firstLine="360"/>
              <w:jc w:val="both"/>
              <w:rPr>
                <w:rFonts w:eastAsia="Times New Roman"/>
                <w:lang w:val="uk-UA" w:eastAsia="ru-RU"/>
              </w:rPr>
            </w:pPr>
            <w:r>
              <w:rPr>
                <w:rFonts w:eastAsia="Times New Roman"/>
                <w:lang w:val="uk-UA" w:eastAsia="ru-RU"/>
              </w:rPr>
              <w:t>Типові задачі на пряму та площину у просторі.</w:t>
            </w:r>
          </w:p>
          <w:p>
            <w:pPr>
              <w:tabs>
                <w:tab w:val="left" w:pos="284"/>
                <w:tab w:val="left" w:pos="567"/>
              </w:tabs>
              <w:ind w:firstLine="360"/>
              <w:jc w:val="both"/>
              <w:rPr>
                <w:rFonts w:eastAsia="Times New Roman"/>
                <w:lang w:val="uk-UA" w:eastAsia="ru-RU"/>
              </w:rPr>
            </w:pPr>
            <w:r>
              <w:rPr>
                <w:rFonts w:eastAsia="Times New Roman"/>
                <w:lang w:val="uk-UA" w:eastAsia="ru-RU"/>
              </w:rPr>
              <w:t xml:space="preserve">Поверхні другого порядку. Канонічні рівняння. </w:t>
            </w:r>
          </w:p>
          <w:p>
            <w:pPr>
              <w:tabs>
                <w:tab w:val="left" w:pos="284"/>
                <w:tab w:val="left" w:pos="567"/>
              </w:tabs>
              <w:ind w:firstLine="360"/>
              <w:jc w:val="both"/>
              <w:rPr>
                <w:rFonts w:eastAsia="Times New Roman"/>
                <w:b/>
                <w:lang w:val="uk-UA" w:eastAsia="ru-RU"/>
              </w:rPr>
            </w:pPr>
            <w:r>
              <w:rPr>
                <w:rFonts w:eastAsia="Times New Roman"/>
                <w:b/>
                <w:lang w:val="uk-UA" w:eastAsia="ru-RU"/>
              </w:rPr>
              <w:t>Змістовий модуль 2. Диференціальне числення функції однієї змінної.</w:t>
            </w:r>
          </w:p>
          <w:p>
            <w:pPr>
              <w:tabs>
                <w:tab w:val="left" w:pos="284"/>
                <w:tab w:val="left" w:pos="567"/>
              </w:tabs>
              <w:ind w:firstLine="360"/>
              <w:jc w:val="both"/>
              <w:rPr>
                <w:rFonts w:eastAsia="Times New Roman"/>
                <w:b/>
                <w:lang w:val="uk-UA" w:eastAsia="ru-RU"/>
              </w:rPr>
            </w:pPr>
            <w:r>
              <w:rPr>
                <w:rFonts w:eastAsia="Times New Roman"/>
                <w:b/>
                <w:lang w:val="uk-UA" w:eastAsia="ru-RU"/>
              </w:rPr>
              <w:t>Тема 1. Границя функції.</w:t>
            </w:r>
          </w:p>
          <w:p>
            <w:pPr>
              <w:tabs>
                <w:tab w:val="left" w:pos="284"/>
                <w:tab w:val="left" w:pos="567"/>
              </w:tabs>
              <w:ind w:firstLine="360"/>
              <w:jc w:val="both"/>
              <w:rPr>
                <w:rFonts w:eastAsia="Times New Roman"/>
                <w:lang w:val="uk-UA" w:eastAsia="ru-RU"/>
              </w:rPr>
            </w:pPr>
            <w:r>
              <w:rPr>
                <w:rFonts w:eastAsia="Times New Roman"/>
                <w:lang w:val="uk-UA" w:eastAsia="ru-RU"/>
              </w:rPr>
              <w:t>Загальні відомості про функцію однієї дійсної змінної. Способи задання функцій, графік. Складна функція, обернена функція. Неявна функція. Параметричне задання функції. Парні, непарні, періодичні, обмежені функції. Класифікація функцій. Основні елементарні функції, властивості та графіки. Елементарні прийоми побудови графіків функцій. Поняття про функціональні рівняння.</w:t>
            </w:r>
          </w:p>
          <w:p>
            <w:pPr>
              <w:tabs>
                <w:tab w:val="left" w:pos="284"/>
                <w:tab w:val="left" w:pos="567"/>
              </w:tabs>
              <w:ind w:firstLine="360"/>
              <w:jc w:val="both"/>
              <w:rPr>
                <w:rFonts w:eastAsia="Times New Roman"/>
                <w:lang w:val="uk-UA" w:eastAsia="ru-RU"/>
              </w:rPr>
            </w:pPr>
            <w:r>
              <w:rPr>
                <w:rFonts w:eastAsia="Times New Roman"/>
                <w:lang w:val="uk-UA" w:eastAsia="ru-RU"/>
              </w:rPr>
              <w:t xml:space="preserve">Границя функції. Означення границі функції (для випадків кінцевої та нескінченної границь). Нескінченно малі та нескінченно великі. Властивості нескінченно малих. Граничний перехід та арифметичні операції. Теорема про проміжну функцію. Поняття про неперервність функції. Неперервність елементарних функцій. </w:t>
            </w:r>
          </w:p>
          <w:p>
            <w:pPr>
              <w:tabs>
                <w:tab w:val="left" w:pos="284"/>
                <w:tab w:val="left" w:pos="567"/>
              </w:tabs>
              <w:ind w:firstLine="360"/>
              <w:jc w:val="both"/>
              <w:rPr>
                <w:rFonts w:eastAsia="Times New Roman"/>
                <w:lang w:val="uk-UA" w:eastAsia="ru-RU"/>
              </w:rPr>
            </w:pPr>
            <w:r>
              <w:rPr>
                <w:rFonts w:eastAsia="Times New Roman"/>
                <w:lang w:val="uk-UA" w:eastAsia="ru-RU"/>
              </w:rPr>
              <w:t>Границя полінома та дробово-раціональної функції. Поняття про розкриття невизначеностей. Границі ірраціональних виразів. Визначні границі.</w:t>
            </w:r>
          </w:p>
          <w:p>
            <w:pPr>
              <w:tabs>
                <w:tab w:val="left" w:pos="284"/>
                <w:tab w:val="left" w:pos="567"/>
              </w:tabs>
              <w:ind w:firstLine="360"/>
              <w:jc w:val="both"/>
              <w:rPr>
                <w:rFonts w:eastAsia="Times New Roman"/>
                <w:lang w:val="uk-UA" w:eastAsia="ru-RU"/>
              </w:rPr>
            </w:pPr>
            <w:r>
              <w:rPr>
                <w:rFonts w:eastAsia="Times New Roman"/>
                <w:lang w:val="uk-UA" w:eastAsia="ru-RU"/>
              </w:rPr>
              <w:t>Порівняння нескінченно малих та нескінченно великих. Основні еквівалентності. Заміна нескінченно малих та нескінченно великих еквівалентними.</w:t>
            </w:r>
          </w:p>
          <w:p>
            <w:pPr>
              <w:tabs>
                <w:tab w:val="left" w:pos="284"/>
                <w:tab w:val="left" w:pos="567"/>
              </w:tabs>
              <w:ind w:firstLine="360"/>
              <w:jc w:val="both"/>
              <w:rPr>
                <w:rFonts w:eastAsia="Times New Roman"/>
                <w:b/>
                <w:lang w:val="uk-UA" w:eastAsia="ru-RU"/>
              </w:rPr>
            </w:pPr>
            <w:r>
              <w:rPr>
                <w:rFonts w:eastAsia="Times New Roman"/>
                <w:lang w:val="uk-UA" w:eastAsia="ru-RU"/>
              </w:rPr>
              <w:t>Властивості неперервних функцій. Класифікація точок розриву. Вертикальні асимптоти.</w:t>
            </w:r>
            <w:r>
              <w:rPr>
                <w:rFonts w:eastAsia="Times New Roman"/>
                <w:b/>
                <w:lang w:val="uk-UA" w:eastAsia="ru-RU"/>
              </w:rPr>
              <w:t xml:space="preserve"> </w:t>
            </w:r>
          </w:p>
          <w:p>
            <w:pPr>
              <w:tabs>
                <w:tab w:val="left" w:pos="284"/>
                <w:tab w:val="left" w:pos="567"/>
              </w:tabs>
              <w:ind w:firstLine="360"/>
              <w:jc w:val="both"/>
              <w:rPr>
                <w:rFonts w:eastAsia="Times New Roman"/>
                <w:b/>
                <w:lang w:val="uk-UA" w:eastAsia="ru-RU"/>
              </w:rPr>
            </w:pPr>
            <w:r>
              <w:rPr>
                <w:rFonts w:eastAsia="Times New Roman"/>
                <w:b/>
                <w:lang w:val="uk-UA" w:eastAsia="ru-RU"/>
              </w:rPr>
              <w:t>Тема 2. Похідна функції та її застосування.</w:t>
            </w:r>
          </w:p>
          <w:p>
            <w:pPr>
              <w:tabs>
                <w:tab w:val="left" w:pos="284"/>
                <w:tab w:val="left" w:pos="567"/>
              </w:tabs>
              <w:ind w:firstLine="360"/>
              <w:jc w:val="both"/>
              <w:rPr>
                <w:rFonts w:eastAsia="Times New Roman"/>
                <w:lang w:val="uk-UA" w:eastAsia="ru-RU"/>
              </w:rPr>
            </w:pPr>
            <w:r>
              <w:rPr>
                <w:rFonts w:eastAsia="Times New Roman"/>
                <w:lang w:val="uk-UA" w:eastAsia="ru-RU"/>
              </w:rPr>
              <w:t>Приріст функції. Задача, що приводить до поняття похідної. Означення похідної, фізичний зміст. Таблиця похідних, правила диференціювання. Формальне диференціювання явно заданої функції. Логарифмічне диференціювання.</w:t>
            </w:r>
          </w:p>
          <w:p>
            <w:pPr>
              <w:tabs>
                <w:tab w:val="left" w:pos="284"/>
                <w:tab w:val="left" w:pos="567"/>
              </w:tabs>
              <w:ind w:firstLine="360"/>
              <w:jc w:val="both"/>
              <w:rPr>
                <w:rFonts w:eastAsia="Times New Roman"/>
                <w:lang w:val="uk-UA" w:eastAsia="ru-RU"/>
              </w:rPr>
            </w:pPr>
            <w:r>
              <w:rPr>
                <w:rFonts w:eastAsia="Times New Roman"/>
                <w:lang w:val="uk-UA" w:eastAsia="ru-RU"/>
              </w:rPr>
              <w:t>Дотична та нормаль до графіка функції. Геометричний сенс похідної. Рівняння дотичної та нормалі. Зв'язок  диференційованості та неперервності функції. Особливості графіку диференційованої функції.</w:t>
            </w:r>
          </w:p>
          <w:p>
            <w:pPr>
              <w:tabs>
                <w:tab w:val="left" w:pos="284"/>
                <w:tab w:val="left" w:pos="567"/>
              </w:tabs>
              <w:ind w:firstLine="360"/>
              <w:jc w:val="both"/>
              <w:rPr>
                <w:rFonts w:eastAsia="Times New Roman"/>
                <w:lang w:val="uk-UA" w:eastAsia="ru-RU"/>
              </w:rPr>
            </w:pPr>
            <w:r>
              <w:rPr>
                <w:rFonts w:eastAsia="Times New Roman"/>
                <w:lang w:val="uk-UA" w:eastAsia="ru-RU"/>
              </w:rPr>
              <w:t>Диференціювання неявно, обернено та параметрично заданих функцій. Похідні вищих порядків.</w:t>
            </w:r>
          </w:p>
          <w:p>
            <w:pPr>
              <w:tabs>
                <w:tab w:val="left" w:pos="284"/>
                <w:tab w:val="left" w:pos="567"/>
              </w:tabs>
              <w:ind w:firstLine="360"/>
              <w:jc w:val="both"/>
              <w:rPr>
                <w:rFonts w:eastAsia="Times New Roman"/>
                <w:lang w:val="uk-UA" w:eastAsia="ru-RU"/>
              </w:rPr>
            </w:pPr>
            <w:r>
              <w:rPr>
                <w:rFonts w:eastAsia="Times New Roman"/>
                <w:lang w:val="uk-UA" w:eastAsia="ru-RU"/>
              </w:rPr>
              <w:t>Диференціал функції, геометричний зміст, правила знаходження. Диференціали вищих порядків.</w:t>
            </w:r>
          </w:p>
          <w:p>
            <w:pPr>
              <w:tabs>
                <w:tab w:val="left" w:pos="284"/>
                <w:tab w:val="left" w:pos="567"/>
              </w:tabs>
              <w:ind w:firstLine="360"/>
              <w:jc w:val="both"/>
              <w:rPr>
                <w:rFonts w:eastAsia="Times New Roman"/>
                <w:lang w:val="uk-UA" w:eastAsia="ru-RU"/>
              </w:rPr>
            </w:pPr>
            <w:r>
              <w:rPr>
                <w:rFonts w:eastAsia="Times New Roman"/>
                <w:lang w:val="uk-UA" w:eastAsia="ru-RU"/>
              </w:rPr>
              <w:t>Властивості диференційованих функцій. Теореми Ролля, Лагранжа, Коші. Формула Тейлора. Правило Лопіталя.</w:t>
            </w:r>
          </w:p>
          <w:p>
            <w:pPr>
              <w:tabs>
                <w:tab w:val="left" w:pos="284"/>
                <w:tab w:val="left" w:pos="567"/>
              </w:tabs>
              <w:ind w:firstLine="360"/>
              <w:jc w:val="both"/>
              <w:rPr>
                <w:rFonts w:eastAsia="Times New Roman"/>
                <w:lang w:val="uk-UA" w:eastAsia="ru-RU"/>
              </w:rPr>
            </w:pPr>
            <w:r>
              <w:rPr>
                <w:rFonts w:eastAsia="Times New Roman"/>
                <w:lang w:val="uk-UA" w:eastAsia="ru-RU"/>
              </w:rPr>
              <w:t>Застосування похідної до дослідження функцій. Зростання та спадання функцій на множині. Дослідження функцій на монотонність. Поняття точок екстремуму. Дослідження функцій на екстремум. Опуклість графіку та точки перегину. Дослідження функції на опуклість графіку. Знаходження асимптот. Загальна схема дослідження функції. Найбільше та найменше значення функції.</w:t>
            </w:r>
          </w:p>
          <w:p>
            <w:pPr>
              <w:tabs>
                <w:tab w:val="left" w:pos="284"/>
                <w:tab w:val="left" w:pos="567"/>
              </w:tabs>
              <w:ind w:firstLine="360"/>
              <w:jc w:val="both"/>
              <w:rPr>
                <w:rFonts w:eastAsia="Times New Roman"/>
                <w:b/>
                <w:lang w:val="uk-UA" w:eastAsia="ru-RU"/>
              </w:rPr>
            </w:pPr>
            <w:r>
              <w:rPr>
                <w:rFonts w:eastAsia="Times New Roman"/>
                <w:b/>
                <w:lang w:val="uk-UA" w:eastAsia="ru-RU"/>
              </w:rPr>
              <w:t>Тема 3. Комплексні числа та дії над ними.</w:t>
            </w:r>
          </w:p>
          <w:p>
            <w:pPr>
              <w:tabs>
                <w:tab w:val="left" w:pos="284"/>
                <w:tab w:val="left" w:pos="567"/>
              </w:tabs>
              <w:ind w:firstLine="360"/>
              <w:jc w:val="both"/>
              <w:rPr>
                <w:rFonts w:eastAsia="Times New Roman"/>
                <w:lang w:val="uk-UA" w:eastAsia="ru-RU"/>
              </w:rPr>
            </w:pPr>
            <w:r>
              <w:rPr>
                <w:rFonts w:eastAsia="Times New Roman"/>
                <w:lang w:val="uk-UA" w:eastAsia="ru-RU"/>
              </w:rPr>
              <w:t xml:space="preserve"> Поняття комплексного числа. Геометрична інтерпретація. Алгебраїчна форма комплексного числа. Дії над комплексними числами у алгебраїчній формі.</w:t>
            </w:r>
          </w:p>
          <w:p>
            <w:pPr>
              <w:tabs>
                <w:tab w:val="left" w:pos="284"/>
                <w:tab w:val="left" w:pos="567"/>
              </w:tabs>
              <w:ind w:firstLine="360"/>
              <w:jc w:val="both"/>
              <w:rPr>
                <w:rFonts w:eastAsia="Times New Roman"/>
                <w:lang w:val="uk-UA" w:eastAsia="ru-RU"/>
              </w:rPr>
            </w:pPr>
            <w:r>
              <w:rPr>
                <w:rFonts w:eastAsia="Times New Roman"/>
                <w:lang w:val="uk-UA" w:eastAsia="ru-RU"/>
              </w:rPr>
              <w:t>Поліноми. Корінь полінома. Основна теорема алгебри. Кратні корені. Комплексні корені поліномів із дійсними коефіцієнтами. Розкладання полінома на множники.</w:t>
            </w:r>
          </w:p>
          <w:p>
            <w:pPr>
              <w:tabs>
                <w:tab w:val="left" w:pos="284"/>
                <w:tab w:val="left" w:pos="567"/>
              </w:tabs>
              <w:ind w:firstLine="360"/>
              <w:jc w:val="both"/>
              <w:rPr>
                <w:rFonts w:eastAsia="Times New Roman"/>
                <w:lang w:val="ru-RU" w:eastAsia="ru-RU"/>
              </w:rPr>
            </w:pPr>
            <w:r>
              <w:rPr>
                <w:rFonts w:eastAsia="Times New Roman"/>
                <w:lang w:val="uk-UA" w:eastAsia="ru-RU"/>
              </w:rPr>
              <w:t>Правильні та неправильні раціональні дроби. Виділення цілої частини із неправильного дробу. Найпростіші раціональні дроби. Розкладання правильного раціонального дробу на найпростіші.</w:t>
            </w:r>
          </w:p>
          <w:p>
            <w:pPr>
              <w:tabs>
                <w:tab w:val="left" w:pos="284"/>
                <w:tab w:val="left" w:pos="567"/>
              </w:tabs>
              <w:ind w:firstLine="360"/>
              <w:jc w:val="both"/>
              <w:rPr>
                <w:rFonts w:eastAsia="Times New Roman"/>
                <w:lang w:val="uk-UA" w:eastAsia="ru-RU"/>
              </w:rPr>
            </w:pPr>
          </w:p>
          <w:p>
            <w:pPr>
              <w:tabs>
                <w:tab w:val="left" w:pos="567"/>
                <w:tab w:val="left" w:pos="1080"/>
              </w:tabs>
              <w:ind w:firstLine="720"/>
              <w:jc w:val="center"/>
              <w:rPr>
                <w:rFonts w:eastAsia="Times New Roman"/>
                <w:b/>
                <w:lang w:val="uk-UA" w:eastAsia="ru-RU"/>
              </w:rPr>
            </w:pPr>
            <w:r>
              <w:rPr>
                <w:rFonts w:eastAsia="Times New Roman"/>
                <w:lang w:val="uk-UA" w:eastAsia="ru-RU"/>
              </w:rPr>
              <w:tab/>
            </w:r>
            <w:r>
              <w:rPr>
                <w:rFonts w:eastAsia="Times New Roman"/>
                <w:b/>
                <w:lang w:val="uk-UA" w:eastAsia="ru-RU"/>
              </w:rPr>
              <w:t>Модуль 2. Інтегральне числення. Ряди. Диференціальні рівняння.</w:t>
            </w:r>
          </w:p>
          <w:p>
            <w:pPr>
              <w:tabs>
                <w:tab w:val="left" w:pos="567"/>
                <w:tab w:val="left" w:pos="1080"/>
              </w:tabs>
              <w:ind w:firstLine="720"/>
              <w:jc w:val="center"/>
              <w:rPr>
                <w:rFonts w:eastAsia="Times New Roman"/>
                <w:b/>
                <w:lang w:val="uk-UA" w:eastAsia="ru-RU"/>
              </w:rPr>
            </w:pPr>
          </w:p>
          <w:p>
            <w:pPr>
              <w:tabs>
                <w:tab w:val="left" w:pos="567"/>
                <w:tab w:val="left" w:pos="1080"/>
              </w:tabs>
              <w:ind w:firstLine="720"/>
              <w:jc w:val="center"/>
              <w:rPr>
                <w:rFonts w:eastAsia="Times New Roman"/>
                <w:b/>
                <w:lang w:val="uk-UA" w:eastAsia="ru-RU"/>
              </w:rPr>
            </w:pPr>
            <w:r>
              <w:rPr>
                <w:rFonts w:eastAsia="Times New Roman"/>
                <w:b/>
                <w:lang w:val="uk-UA" w:eastAsia="ru-RU"/>
              </w:rPr>
              <w:t>Змістовий модуль 1. Інтегральне числення. Функція багатьох змінних.</w:t>
            </w:r>
          </w:p>
          <w:p>
            <w:pPr>
              <w:tabs>
                <w:tab w:val="left" w:pos="284"/>
                <w:tab w:val="left" w:pos="567"/>
              </w:tabs>
              <w:ind w:firstLine="360"/>
              <w:jc w:val="both"/>
              <w:rPr>
                <w:rFonts w:eastAsia="Times New Roman"/>
                <w:b/>
                <w:lang w:val="uk-UA" w:eastAsia="ru-RU"/>
              </w:rPr>
            </w:pPr>
            <w:r>
              <w:rPr>
                <w:rFonts w:eastAsia="Times New Roman"/>
                <w:b/>
                <w:lang w:val="uk-UA" w:eastAsia="ru-RU"/>
              </w:rPr>
              <w:t>Тема 1. Інтегральне числення. Кратні інтеграли.</w:t>
            </w:r>
          </w:p>
          <w:p>
            <w:pPr>
              <w:tabs>
                <w:tab w:val="left" w:pos="284"/>
                <w:tab w:val="left" w:pos="567"/>
              </w:tabs>
              <w:ind w:firstLine="360"/>
              <w:jc w:val="both"/>
              <w:rPr>
                <w:rFonts w:eastAsia="Times New Roman"/>
                <w:lang w:val="uk-UA" w:eastAsia="ru-RU"/>
              </w:rPr>
            </w:pPr>
            <w:r>
              <w:rPr>
                <w:rFonts w:eastAsia="Times New Roman"/>
                <w:lang w:val="uk-UA" w:eastAsia="ru-RU"/>
              </w:rPr>
              <w:t>Первісна. Невизначений інтеграл. Таблиця основних інтегралів. Найпростіші правила інтегрування.</w:t>
            </w:r>
          </w:p>
          <w:p>
            <w:pPr>
              <w:tabs>
                <w:tab w:val="left" w:pos="284"/>
                <w:tab w:val="left" w:pos="567"/>
              </w:tabs>
              <w:ind w:firstLine="360"/>
              <w:jc w:val="both"/>
              <w:rPr>
                <w:rFonts w:eastAsia="Times New Roman"/>
                <w:lang w:val="uk-UA" w:eastAsia="ru-RU"/>
              </w:rPr>
            </w:pPr>
            <w:r>
              <w:rPr>
                <w:rFonts w:eastAsia="Times New Roman"/>
                <w:lang w:val="uk-UA" w:eastAsia="ru-RU"/>
              </w:rPr>
              <w:t xml:space="preserve">Заміна змінної та інтегрування по частинах. Інтегрування раціональних дробів, алгебраїчних ірраціональностей, тригонометричних функцій. </w:t>
            </w:r>
          </w:p>
          <w:p>
            <w:pPr>
              <w:tabs>
                <w:tab w:val="left" w:pos="284"/>
                <w:tab w:val="left" w:pos="567"/>
              </w:tabs>
              <w:ind w:firstLine="360"/>
              <w:jc w:val="both"/>
              <w:rPr>
                <w:rFonts w:eastAsia="Times New Roman"/>
                <w:lang w:val="uk-UA" w:eastAsia="ru-RU"/>
              </w:rPr>
            </w:pPr>
            <w:r>
              <w:rPr>
                <w:rFonts w:eastAsia="Times New Roman"/>
                <w:lang w:val="uk-UA" w:eastAsia="ru-RU"/>
              </w:rPr>
              <w:t xml:space="preserve">Задачі, що приводять до поняття визначеного інтегралу. Означення інтегралу. Геометричний зміст. Класи функцій, що інтегруються. Основні властивості інтегралу. Формула Ньютона-Лейбниця. </w:t>
            </w:r>
          </w:p>
          <w:p>
            <w:pPr>
              <w:tabs>
                <w:tab w:val="left" w:pos="284"/>
                <w:tab w:val="left" w:pos="567"/>
              </w:tabs>
              <w:ind w:firstLine="360"/>
              <w:jc w:val="both"/>
              <w:rPr>
                <w:rFonts w:eastAsia="Times New Roman"/>
                <w:lang w:val="uk-UA" w:eastAsia="ru-RU"/>
              </w:rPr>
            </w:pPr>
            <w:r>
              <w:rPr>
                <w:rFonts w:eastAsia="Times New Roman"/>
                <w:lang w:val="uk-UA" w:eastAsia="ru-RU"/>
              </w:rPr>
              <w:t>Заміна змінної у визначеному інтегралі. Інтегрування по частинах. Геометричні та фізичні застосування визначеного інтегралу.</w:t>
            </w:r>
          </w:p>
          <w:p>
            <w:pPr>
              <w:tabs>
                <w:tab w:val="left" w:pos="284"/>
                <w:tab w:val="left" w:pos="567"/>
              </w:tabs>
              <w:ind w:firstLine="360"/>
              <w:jc w:val="both"/>
              <w:rPr>
                <w:rFonts w:eastAsia="Times New Roman"/>
                <w:lang w:val="uk-UA" w:eastAsia="ru-RU"/>
              </w:rPr>
            </w:pPr>
            <w:r>
              <w:rPr>
                <w:rFonts w:eastAsia="Times New Roman"/>
                <w:lang w:val="uk-UA" w:eastAsia="ru-RU"/>
              </w:rPr>
              <w:t xml:space="preserve">Невласні інтеграли першого та другого роду. </w:t>
            </w:r>
          </w:p>
          <w:p>
            <w:pPr>
              <w:tabs>
                <w:tab w:val="left" w:pos="284"/>
                <w:tab w:val="left" w:pos="567"/>
              </w:tabs>
              <w:ind w:firstLine="360"/>
              <w:jc w:val="both"/>
              <w:rPr>
                <w:rFonts w:eastAsia="Times New Roman"/>
                <w:lang w:val="uk-UA" w:eastAsia="ru-RU"/>
              </w:rPr>
            </w:pPr>
            <w:r>
              <w:rPr>
                <w:rFonts w:eastAsia="Times New Roman"/>
                <w:lang w:val="uk-UA" w:eastAsia="ru-RU"/>
              </w:rPr>
              <w:t xml:space="preserve">Подвійний інтеграл у декартових координатах. Означення, властивості, фізичний та геометричний зміст, обчислення. </w:t>
            </w:r>
          </w:p>
          <w:p>
            <w:pPr>
              <w:ind w:firstLine="360"/>
              <w:rPr>
                <w:rFonts w:eastAsia="Times New Roman"/>
                <w:b/>
                <w:lang w:val="uk-UA" w:eastAsia="ru-RU"/>
              </w:rPr>
            </w:pPr>
            <w:r>
              <w:rPr>
                <w:rFonts w:eastAsia="Times New Roman"/>
                <w:b/>
                <w:lang w:val="uk-UA" w:eastAsia="ru-RU"/>
              </w:rPr>
              <w:t>Тема 2. Диференціальне числення функцій багатьох змінних.</w:t>
            </w:r>
          </w:p>
          <w:p>
            <w:pPr>
              <w:ind w:firstLine="360"/>
              <w:jc w:val="both"/>
              <w:rPr>
                <w:rFonts w:eastAsia="Times New Roman"/>
                <w:lang w:val="uk-UA" w:eastAsia="ru-RU"/>
              </w:rPr>
            </w:pPr>
            <w:r>
              <w:rPr>
                <w:rFonts w:eastAsia="Times New Roman"/>
                <w:lang w:val="uk-UA" w:eastAsia="ru-RU"/>
              </w:rPr>
              <w:t>Поняття функцій декількох змінних. Область визначення. Приріст. Границя. Неперервність. Властивості функцій, неперервних в замкненій області.</w:t>
            </w:r>
          </w:p>
          <w:p>
            <w:pPr>
              <w:ind w:firstLine="360"/>
              <w:jc w:val="both"/>
              <w:rPr>
                <w:rFonts w:eastAsia="Times New Roman"/>
                <w:lang w:val="uk-UA" w:eastAsia="ru-RU"/>
              </w:rPr>
            </w:pPr>
            <w:r>
              <w:rPr>
                <w:rFonts w:eastAsia="Times New Roman"/>
                <w:lang w:val="uk-UA" w:eastAsia="ru-RU"/>
              </w:rPr>
              <w:t>Частинні похідні першого та вищих порядків. Диференціювання складної функції. Похідна неявної функції. Повний диференціал. Градієнт та похідна за напрямком. Диференціали вищих порядків</w:t>
            </w:r>
          </w:p>
          <w:p>
            <w:pPr>
              <w:ind w:firstLine="360"/>
              <w:jc w:val="both"/>
              <w:rPr>
                <w:rFonts w:eastAsia="Times New Roman"/>
                <w:lang w:val="uk-UA" w:eastAsia="ru-RU"/>
              </w:rPr>
            </w:pPr>
            <w:r>
              <w:rPr>
                <w:rFonts w:eastAsia="Times New Roman"/>
                <w:lang w:val="uk-UA" w:eastAsia="ru-RU"/>
              </w:rPr>
              <w:t>Екстремум функції декількох змінних. Необхідні та достатні умови екстремуму для функції двох змінних.</w:t>
            </w:r>
          </w:p>
          <w:p>
            <w:pPr>
              <w:ind w:firstLine="360"/>
              <w:jc w:val="both"/>
              <w:rPr>
                <w:rFonts w:eastAsia="Times New Roman"/>
                <w:lang w:val="uk-UA" w:eastAsia="ru-RU"/>
              </w:rPr>
            </w:pPr>
          </w:p>
          <w:p>
            <w:pPr>
              <w:tabs>
                <w:tab w:val="left" w:pos="567"/>
                <w:tab w:val="left" w:pos="1080"/>
              </w:tabs>
              <w:ind w:firstLine="720"/>
              <w:jc w:val="center"/>
              <w:rPr>
                <w:rFonts w:eastAsia="Times New Roman"/>
                <w:b/>
                <w:lang w:val="uk-UA" w:eastAsia="ru-RU"/>
              </w:rPr>
            </w:pPr>
            <w:r>
              <w:rPr>
                <w:rFonts w:eastAsia="Times New Roman"/>
                <w:b/>
                <w:lang w:val="uk-UA" w:eastAsia="ru-RU"/>
              </w:rPr>
              <w:t>Змістовий модуль 2. Ряди. Звичайні диференціальні рівняння</w:t>
            </w:r>
          </w:p>
          <w:p>
            <w:pPr>
              <w:tabs>
                <w:tab w:val="left" w:pos="284"/>
                <w:tab w:val="left" w:pos="567"/>
              </w:tabs>
              <w:ind w:firstLine="360"/>
              <w:jc w:val="both"/>
              <w:rPr>
                <w:rFonts w:eastAsia="Times New Roman"/>
                <w:b/>
                <w:lang w:val="uk-UA" w:eastAsia="ru-RU"/>
              </w:rPr>
            </w:pPr>
            <w:r>
              <w:rPr>
                <w:rFonts w:eastAsia="Times New Roman"/>
                <w:b/>
                <w:lang w:val="uk-UA" w:eastAsia="ru-RU"/>
              </w:rPr>
              <w:t>Тема 1. Ряди</w:t>
            </w:r>
          </w:p>
          <w:p>
            <w:pPr>
              <w:tabs>
                <w:tab w:val="left" w:pos="284"/>
                <w:tab w:val="left" w:pos="567"/>
              </w:tabs>
              <w:ind w:firstLine="360"/>
              <w:jc w:val="both"/>
              <w:rPr>
                <w:rFonts w:eastAsia="Times New Roman"/>
                <w:lang w:val="uk-UA" w:eastAsia="ru-RU"/>
              </w:rPr>
            </w:pPr>
            <w:r>
              <w:rPr>
                <w:rFonts w:eastAsia="Times New Roman"/>
                <w:lang w:val="uk-UA" w:eastAsia="ru-RU"/>
              </w:rPr>
              <w:t xml:space="preserve">Поняття числового ряду. Часткова сума, збіжність. Необхідна умова збіжності. Критерій Коші. Гармонічний ряд. Геометричний ряд. </w:t>
            </w:r>
          </w:p>
          <w:p>
            <w:pPr>
              <w:tabs>
                <w:tab w:val="left" w:pos="284"/>
                <w:tab w:val="left" w:pos="567"/>
              </w:tabs>
              <w:ind w:firstLine="360"/>
              <w:jc w:val="both"/>
              <w:rPr>
                <w:rFonts w:eastAsia="Times New Roman"/>
                <w:lang w:val="uk-UA" w:eastAsia="ru-RU"/>
              </w:rPr>
            </w:pPr>
            <w:r>
              <w:rPr>
                <w:rFonts w:eastAsia="Times New Roman"/>
                <w:lang w:val="uk-UA" w:eastAsia="ru-RU"/>
              </w:rPr>
              <w:t>Збіжність знакосталих рядів. Теореми порівняння. Ознаки Даламбера та Коші. Інтегральна ознака. Узагальнений гармонічний ряд.</w:t>
            </w:r>
          </w:p>
          <w:p>
            <w:pPr>
              <w:tabs>
                <w:tab w:val="left" w:pos="284"/>
                <w:tab w:val="left" w:pos="567"/>
              </w:tabs>
              <w:ind w:firstLine="360"/>
              <w:jc w:val="both"/>
              <w:rPr>
                <w:rFonts w:eastAsia="Times New Roman"/>
                <w:lang w:val="uk-UA" w:eastAsia="ru-RU"/>
              </w:rPr>
            </w:pPr>
            <w:r>
              <w:rPr>
                <w:rFonts w:eastAsia="Times New Roman"/>
                <w:lang w:val="uk-UA" w:eastAsia="ru-RU"/>
              </w:rPr>
              <w:t>Збіжність знакозмінних рядів. Абсолютна та умовна збіжність. Властивості абсолютної та умовної збіжності рядів. Ряди Лейбниця. Оцінка суми та залишку ряду Лейбниця.</w:t>
            </w:r>
          </w:p>
          <w:p>
            <w:pPr>
              <w:tabs>
                <w:tab w:val="left" w:pos="284"/>
                <w:tab w:val="left" w:pos="567"/>
              </w:tabs>
              <w:ind w:firstLine="360"/>
              <w:jc w:val="both"/>
              <w:rPr>
                <w:rFonts w:eastAsia="Times New Roman"/>
                <w:lang w:val="uk-UA" w:eastAsia="ru-RU"/>
              </w:rPr>
            </w:pPr>
            <w:r>
              <w:rPr>
                <w:rFonts w:eastAsia="Times New Roman"/>
                <w:lang w:val="uk-UA" w:eastAsia="ru-RU"/>
              </w:rPr>
              <w:t xml:space="preserve">Поняття функціонального ряду. </w:t>
            </w:r>
          </w:p>
          <w:p>
            <w:pPr>
              <w:tabs>
                <w:tab w:val="left" w:pos="284"/>
                <w:tab w:val="left" w:pos="567"/>
              </w:tabs>
              <w:ind w:firstLine="360"/>
              <w:jc w:val="both"/>
              <w:rPr>
                <w:rFonts w:eastAsia="Times New Roman"/>
                <w:lang w:val="uk-UA" w:eastAsia="ru-RU"/>
              </w:rPr>
            </w:pPr>
            <w:r>
              <w:rPr>
                <w:rFonts w:eastAsia="Times New Roman"/>
                <w:lang w:val="uk-UA" w:eastAsia="ru-RU"/>
              </w:rPr>
              <w:t>Степеневий ряд. Теорема Абеля. Область збіжності степеневого ряду. Функціональні властивості степеневих рядів.</w:t>
            </w:r>
          </w:p>
          <w:p>
            <w:pPr>
              <w:tabs>
                <w:tab w:val="left" w:pos="284"/>
                <w:tab w:val="left" w:pos="567"/>
              </w:tabs>
              <w:ind w:firstLine="360"/>
              <w:jc w:val="both"/>
              <w:rPr>
                <w:rFonts w:eastAsia="Times New Roman"/>
                <w:lang w:val="uk-UA" w:eastAsia="ru-RU"/>
              </w:rPr>
            </w:pPr>
            <w:r>
              <w:rPr>
                <w:rFonts w:eastAsia="Times New Roman"/>
                <w:lang w:val="uk-UA" w:eastAsia="ru-RU"/>
              </w:rPr>
              <w:t>Ряд Тейлора. Приклади розкладання функцій в ряд Тейлора (Маклорена). Застосування степеневих рядів (наближене обчислення значень функцій, інтегрування).</w:t>
            </w:r>
          </w:p>
          <w:p>
            <w:pPr>
              <w:ind w:firstLine="360"/>
              <w:rPr>
                <w:rFonts w:eastAsia="Times New Roman"/>
                <w:b/>
                <w:lang w:val="uk-UA" w:eastAsia="ru-RU"/>
              </w:rPr>
            </w:pPr>
            <w:r>
              <w:rPr>
                <w:rFonts w:eastAsia="Times New Roman"/>
                <w:b/>
                <w:lang w:val="uk-UA" w:eastAsia="ru-RU"/>
              </w:rPr>
              <w:t>Тема 2. Звичайні диференціальні рівняння</w:t>
            </w:r>
          </w:p>
          <w:p>
            <w:pPr>
              <w:ind w:firstLine="360"/>
              <w:jc w:val="both"/>
              <w:rPr>
                <w:rFonts w:eastAsia="Times New Roman"/>
                <w:lang w:val="uk-UA" w:eastAsia="ru-RU"/>
              </w:rPr>
            </w:pPr>
            <w:r>
              <w:rPr>
                <w:rFonts w:eastAsia="Times New Roman"/>
                <w:lang w:val="uk-UA" w:eastAsia="ru-RU"/>
              </w:rPr>
              <w:t>Задачі, що приводять до диференціальних рівнянь. Термінологія. Диференціальні рівняння першого порядку. Задача Коші. Існування розв’язку. Диференціальні рівняння із змінними, що відокремлюються.</w:t>
            </w:r>
          </w:p>
          <w:p>
            <w:pPr>
              <w:ind w:firstLine="360"/>
              <w:jc w:val="both"/>
              <w:rPr>
                <w:rFonts w:eastAsia="Times New Roman"/>
                <w:lang w:val="uk-UA" w:eastAsia="ru-RU"/>
              </w:rPr>
            </w:pPr>
            <w:r>
              <w:rPr>
                <w:rFonts w:eastAsia="Times New Roman"/>
                <w:lang w:val="uk-UA" w:eastAsia="ru-RU"/>
              </w:rPr>
              <w:t>Основні класи диференціальних рівнянь першого порядку, що інтегруються у квадратурах.</w:t>
            </w:r>
          </w:p>
          <w:p>
            <w:pPr>
              <w:ind w:firstLine="360"/>
              <w:jc w:val="both"/>
              <w:rPr>
                <w:rFonts w:eastAsia="Times New Roman"/>
                <w:lang w:val="uk-UA" w:eastAsia="ru-RU"/>
              </w:rPr>
            </w:pPr>
            <w:r>
              <w:rPr>
                <w:rFonts w:eastAsia="Times New Roman"/>
                <w:lang w:val="uk-UA" w:eastAsia="ru-RU"/>
              </w:rPr>
              <w:t>Диференціальні рівняння вищих порядків, що допускають зниження порядку.</w:t>
            </w:r>
          </w:p>
          <w:p>
            <w:pPr>
              <w:ind w:firstLine="360"/>
              <w:jc w:val="both"/>
              <w:rPr>
                <w:rFonts w:eastAsia="Times New Roman"/>
                <w:lang w:val="uk-UA" w:eastAsia="ru-RU"/>
              </w:rPr>
            </w:pPr>
            <w:r>
              <w:rPr>
                <w:rFonts w:eastAsia="Times New Roman"/>
                <w:lang w:val="uk-UA" w:eastAsia="ru-RU"/>
              </w:rPr>
              <w:t xml:space="preserve">Лінійні диференціальні рівняння </w:t>
            </w:r>
            <w:r>
              <w:rPr>
                <w:rFonts w:eastAsia="Times New Roman"/>
                <w:lang w:val="en-US" w:eastAsia="ru-RU"/>
              </w:rPr>
              <w:t>n</w:t>
            </w:r>
            <w:r>
              <w:rPr>
                <w:rFonts w:eastAsia="Times New Roman"/>
                <w:lang w:val="uk-UA" w:eastAsia="ru-RU"/>
              </w:rPr>
              <w:t>-го порядку. Задача Коші. Лінійні однорідні диференціальні рівняння. Властивості розв’язків. Лінійні однорідні диференціальні рівняння із сталими коефіцієнтами.</w:t>
            </w:r>
          </w:p>
          <w:p>
            <w:pPr>
              <w:ind w:firstLine="360"/>
              <w:jc w:val="both"/>
              <w:rPr>
                <w:rFonts w:eastAsia="Times New Roman"/>
                <w:lang w:val="uk-UA" w:eastAsia="ru-RU"/>
              </w:rPr>
            </w:pPr>
            <w:r>
              <w:rPr>
                <w:rFonts w:eastAsia="Times New Roman"/>
                <w:lang w:val="uk-UA" w:eastAsia="ru-RU"/>
              </w:rPr>
              <w:t>Структура загального розв’язку лінійного неоднорідного диференціального рівняння. Лінійні неоднорідні диференціальні рівняння із сталими коефіцієнтами зі спеціальною правою частиною. Метод варіації довільних сталих.</w:t>
            </w:r>
          </w:p>
          <w:p>
            <w:pPr>
              <w:ind w:firstLine="360"/>
              <w:jc w:val="both"/>
              <w:rPr>
                <w:rFonts w:eastAsia="Times New Roman"/>
                <w:lang w:val="uk-UA" w:eastAsia="ru-RU"/>
              </w:rPr>
            </w:pPr>
            <w:r>
              <w:rPr>
                <w:rFonts w:eastAsia="Times New Roman"/>
                <w:lang w:val="uk-UA" w:eastAsia="ru-RU"/>
              </w:rPr>
              <w:t xml:space="preserve">Системи звичайних диференціальних рівнянь. Нормальні системи. Метод виключення. Системи лінійних диференціальні рівнянь із сталими коефіцієнтами. </w:t>
            </w:r>
          </w:p>
          <w:p>
            <w:pPr>
              <w:jc w:val="both"/>
              <w:rPr>
                <w:lang w:val="uk-UA"/>
              </w:rPr>
            </w:pPr>
            <w:r>
              <w:rPr>
                <w:b/>
                <w:lang w:val="uk-UA"/>
              </w:rPr>
              <w:t xml:space="preserve">    Практичні</w:t>
            </w:r>
            <w:r>
              <w:rPr>
                <w:lang w:val="uk-UA"/>
              </w:rPr>
              <w:t>:</w:t>
            </w:r>
          </w:p>
          <w:tbl>
            <w:tblPr>
              <w:tblStyle w:val="3"/>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7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680" w:type="dxa"/>
                  <w:vMerge w:val="restart"/>
                  <w:shd w:val="clear" w:color="auto" w:fill="auto"/>
                  <w:vAlign w:val="center"/>
                </w:tcPr>
                <w:p>
                  <w:pPr>
                    <w:ind w:left="142" w:hanging="142"/>
                    <w:jc w:val="center"/>
                    <w:rPr>
                      <w:rFonts w:eastAsia="Times New Roman"/>
                      <w:lang w:val="uk-UA" w:eastAsia="ru-RU"/>
                    </w:rPr>
                  </w:pPr>
                  <w:r>
                    <w:rPr>
                      <w:rFonts w:eastAsia="Times New Roman"/>
                      <w:lang w:val="uk-UA" w:eastAsia="ru-RU"/>
                    </w:rPr>
                    <w:t>№</w:t>
                  </w:r>
                </w:p>
              </w:tc>
              <w:tc>
                <w:tcPr>
                  <w:tcW w:w="7967" w:type="dxa"/>
                  <w:vMerge w:val="restart"/>
                  <w:shd w:val="clear" w:color="auto" w:fill="auto"/>
                  <w:vAlign w:val="center"/>
                </w:tcPr>
                <w:p>
                  <w:pPr>
                    <w:jc w:val="center"/>
                    <w:rPr>
                      <w:rFonts w:eastAsia="Times New Roman"/>
                      <w:lang w:val="uk-UA" w:eastAsia="ru-RU"/>
                    </w:rPr>
                  </w:pPr>
                  <w:r>
                    <w:rPr>
                      <w:rFonts w:eastAsia="Times New Roman"/>
                      <w:lang w:val="uk-UA" w:eastAsia="ru-RU"/>
                    </w:rPr>
                    <w:t>Назва теми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80" w:type="dxa"/>
                  <w:vMerge w:val="continue"/>
                  <w:shd w:val="clear" w:color="auto" w:fill="auto"/>
                  <w:vAlign w:val="center"/>
                </w:tcPr>
                <w:p>
                  <w:pPr>
                    <w:ind w:left="142" w:hanging="142"/>
                    <w:jc w:val="center"/>
                    <w:rPr>
                      <w:rFonts w:eastAsia="Times New Roman"/>
                      <w:lang w:val="uk-UA" w:eastAsia="ru-RU"/>
                    </w:rPr>
                  </w:pPr>
                </w:p>
              </w:tc>
              <w:tc>
                <w:tcPr>
                  <w:tcW w:w="7967" w:type="dxa"/>
                  <w:vMerge w:val="continue"/>
                  <w:shd w:val="clear" w:color="auto" w:fill="auto"/>
                  <w:vAlign w:val="center"/>
                </w:tcPr>
                <w:p>
                  <w:pPr>
                    <w:jc w:val="center"/>
                    <w:rPr>
                      <w:rFonts w:eastAsia="Times New Roman"/>
                      <w:lang w:val="uk-UA"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shd w:val="clear" w:color="auto" w:fill="auto"/>
                </w:tcPr>
                <w:p>
                  <w:pPr>
                    <w:jc w:val="center"/>
                    <w:rPr>
                      <w:rFonts w:eastAsia="Times New Roman"/>
                      <w:lang w:val="uk-UA" w:eastAsia="ru-RU"/>
                    </w:rPr>
                  </w:pPr>
                  <w:r>
                    <w:rPr>
                      <w:rFonts w:eastAsia="Times New Roman"/>
                      <w:lang w:val="uk-UA" w:eastAsia="ru-RU"/>
                    </w:rPr>
                    <w:t>1</w:t>
                  </w:r>
                </w:p>
              </w:tc>
              <w:tc>
                <w:tcPr>
                  <w:tcW w:w="7967" w:type="dxa"/>
                  <w:shd w:val="clear" w:color="auto" w:fill="auto"/>
                </w:tcPr>
                <w:p>
                  <w:pPr>
                    <w:rPr>
                      <w:rFonts w:eastAsia="Times New Roman"/>
                      <w:lang w:val="uk-UA" w:eastAsia="ru-RU"/>
                    </w:rPr>
                  </w:pPr>
                  <w:r>
                    <w:rPr>
                      <w:rFonts w:eastAsia="Times New Roman"/>
                      <w:lang w:val="uk-UA" w:eastAsia="ru-RU"/>
                    </w:rPr>
                    <w:t>Системи лінійних алгебраїчних рівнянь.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shd w:val="clear" w:color="auto" w:fill="auto"/>
                </w:tcPr>
                <w:p>
                  <w:pPr>
                    <w:jc w:val="center"/>
                    <w:rPr>
                      <w:rFonts w:eastAsia="Times New Roman"/>
                      <w:lang w:val="uk-UA" w:eastAsia="ru-RU"/>
                    </w:rPr>
                  </w:pPr>
                  <w:r>
                    <w:rPr>
                      <w:rFonts w:eastAsia="Times New Roman"/>
                      <w:lang w:val="uk-UA" w:eastAsia="ru-RU"/>
                    </w:rPr>
                    <w:t>2</w:t>
                  </w:r>
                </w:p>
              </w:tc>
              <w:tc>
                <w:tcPr>
                  <w:tcW w:w="7967" w:type="dxa"/>
                  <w:shd w:val="clear" w:color="auto" w:fill="auto"/>
                </w:tcPr>
                <w:p>
                  <w:pPr>
                    <w:rPr>
                      <w:rFonts w:eastAsia="Times New Roman"/>
                      <w:lang w:val="uk-UA" w:eastAsia="ru-RU"/>
                    </w:rPr>
                  </w:pPr>
                  <w:r>
                    <w:rPr>
                      <w:rFonts w:eastAsia="Times New Roman"/>
                      <w:lang w:val="uk-UA" w:eastAsia="ru-RU"/>
                    </w:rPr>
                    <w:t>Векторний аналіз.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shd w:val="clear" w:color="auto" w:fill="auto"/>
                </w:tcPr>
                <w:p>
                  <w:pPr>
                    <w:jc w:val="center"/>
                    <w:rPr>
                      <w:rFonts w:eastAsia="Times New Roman"/>
                      <w:lang w:val="uk-UA" w:eastAsia="ru-RU"/>
                    </w:rPr>
                  </w:pPr>
                  <w:r>
                    <w:rPr>
                      <w:rFonts w:eastAsia="Times New Roman"/>
                      <w:lang w:val="uk-UA" w:eastAsia="ru-RU"/>
                    </w:rPr>
                    <w:t>3</w:t>
                  </w:r>
                </w:p>
              </w:tc>
              <w:tc>
                <w:tcPr>
                  <w:tcW w:w="7967" w:type="dxa"/>
                  <w:shd w:val="clear" w:color="auto" w:fill="auto"/>
                </w:tcPr>
                <w:p>
                  <w:pPr>
                    <w:rPr>
                      <w:rFonts w:eastAsia="Times New Roman"/>
                      <w:lang w:val="uk-UA" w:eastAsia="ru-RU"/>
                    </w:rPr>
                  </w:pPr>
                  <w:r>
                    <w:rPr>
                      <w:rFonts w:eastAsia="Times New Roman"/>
                      <w:lang w:val="uk-UA" w:eastAsia="ru-RU"/>
                    </w:rPr>
                    <w:t>Елементи аналітичної геометрії.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shd w:val="clear" w:color="auto" w:fill="auto"/>
                </w:tcPr>
                <w:p>
                  <w:pPr>
                    <w:jc w:val="center"/>
                    <w:rPr>
                      <w:rFonts w:eastAsia="Times New Roman"/>
                      <w:lang w:val="uk-UA" w:eastAsia="ru-RU"/>
                    </w:rPr>
                  </w:pPr>
                  <w:r>
                    <w:rPr>
                      <w:rFonts w:eastAsia="Times New Roman"/>
                      <w:lang w:val="uk-UA" w:eastAsia="ru-RU"/>
                    </w:rPr>
                    <w:t>4</w:t>
                  </w:r>
                </w:p>
              </w:tc>
              <w:tc>
                <w:tcPr>
                  <w:tcW w:w="7967" w:type="dxa"/>
                  <w:shd w:val="clear" w:color="auto" w:fill="auto"/>
                </w:tcPr>
                <w:p>
                  <w:pPr>
                    <w:rPr>
                      <w:rFonts w:eastAsia="Times New Roman"/>
                      <w:lang w:val="uk-UA" w:eastAsia="ru-RU"/>
                    </w:rPr>
                  </w:pPr>
                  <w:r>
                    <w:rPr>
                      <w:rFonts w:eastAsia="Times New Roman"/>
                      <w:lang w:val="uk-UA" w:eastAsia="ru-RU"/>
                    </w:rPr>
                    <w:t>Границя функції.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shd w:val="clear" w:color="auto" w:fill="auto"/>
                </w:tcPr>
                <w:p>
                  <w:pPr>
                    <w:jc w:val="center"/>
                    <w:rPr>
                      <w:rFonts w:eastAsia="Times New Roman"/>
                      <w:lang w:val="uk-UA" w:eastAsia="ru-RU"/>
                    </w:rPr>
                  </w:pPr>
                  <w:r>
                    <w:rPr>
                      <w:rFonts w:eastAsia="Times New Roman"/>
                      <w:lang w:val="uk-UA" w:eastAsia="ru-RU"/>
                    </w:rPr>
                    <w:t>5</w:t>
                  </w:r>
                </w:p>
              </w:tc>
              <w:tc>
                <w:tcPr>
                  <w:tcW w:w="7967" w:type="dxa"/>
                  <w:shd w:val="clear" w:color="auto" w:fill="auto"/>
                </w:tcPr>
                <w:p>
                  <w:pPr>
                    <w:rPr>
                      <w:rFonts w:eastAsia="Times New Roman"/>
                      <w:lang w:val="uk-UA" w:eastAsia="ru-RU"/>
                    </w:rPr>
                  </w:pPr>
                  <w:r>
                    <w:rPr>
                      <w:rFonts w:eastAsia="Times New Roman"/>
                      <w:lang w:val="uk-UA" w:eastAsia="ru-RU"/>
                    </w:rPr>
                    <w:t xml:space="preserve">Похідна функції однієї змінної та її застосування.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shd w:val="clear" w:color="auto" w:fill="auto"/>
                </w:tcPr>
                <w:p>
                  <w:pPr>
                    <w:jc w:val="center"/>
                    <w:rPr>
                      <w:rFonts w:eastAsia="Times New Roman"/>
                      <w:lang w:val="uk-UA" w:eastAsia="ru-RU"/>
                    </w:rPr>
                  </w:pPr>
                  <w:r>
                    <w:rPr>
                      <w:rFonts w:eastAsia="Times New Roman"/>
                      <w:lang w:val="uk-UA" w:eastAsia="ru-RU"/>
                    </w:rPr>
                    <w:t>6</w:t>
                  </w:r>
                </w:p>
              </w:tc>
              <w:tc>
                <w:tcPr>
                  <w:tcW w:w="7967" w:type="dxa"/>
                  <w:shd w:val="clear" w:color="auto" w:fill="auto"/>
                </w:tcPr>
                <w:p>
                  <w:pPr>
                    <w:rPr>
                      <w:rFonts w:eastAsia="Times New Roman"/>
                      <w:lang w:val="uk-UA" w:eastAsia="ru-RU"/>
                    </w:rPr>
                  </w:pPr>
                  <w:r>
                    <w:rPr>
                      <w:rFonts w:eastAsia="Times New Roman"/>
                      <w:lang w:val="uk-UA" w:eastAsia="ru-RU"/>
                    </w:rPr>
                    <w:t>Комплексні числа.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shd w:val="clear" w:color="auto" w:fill="auto"/>
                </w:tcPr>
                <w:p>
                  <w:pPr>
                    <w:jc w:val="center"/>
                    <w:rPr>
                      <w:rFonts w:eastAsia="Times New Roman"/>
                      <w:lang w:val="uk-UA" w:eastAsia="ru-RU"/>
                    </w:rPr>
                  </w:pPr>
                  <w:r>
                    <w:rPr>
                      <w:rFonts w:eastAsia="Times New Roman"/>
                      <w:lang w:val="uk-UA" w:eastAsia="ru-RU"/>
                    </w:rPr>
                    <w:t>7</w:t>
                  </w:r>
                </w:p>
              </w:tc>
              <w:tc>
                <w:tcPr>
                  <w:tcW w:w="7967" w:type="dxa"/>
                  <w:shd w:val="clear" w:color="auto" w:fill="auto"/>
                </w:tcPr>
                <w:p>
                  <w:pPr>
                    <w:rPr>
                      <w:rFonts w:eastAsia="Times New Roman"/>
                      <w:lang w:val="uk-UA" w:eastAsia="ru-RU"/>
                    </w:rPr>
                  </w:pPr>
                  <w:r>
                    <w:rPr>
                      <w:rFonts w:eastAsia="Times New Roman"/>
                      <w:lang w:val="uk-UA" w:eastAsia="ru-RU"/>
                    </w:rPr>
                    <w:t>Інтегральне числення.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shd w:val="clear" w:color="auto" w:fill="auto"/>
                </w:tcPr>
                <w:p>
                  <w:pPr>
                    <w:jc w:val="center"/>
                    <w:rPr>
                      <w:rFonts w:eastAsia="Times New Roman"/>
                      <w:lang w:val="uk-UA" w:eastAsia="ru-RU"/>
                    </w:rPr>
                  </w:pPr>
                  <w:r>
                    <w:rPr>
                      <w:rFonts w:eastAsia="Times New Roman"/>
                      <w:lang w:val="uk-UA" w:eastAsia="ru-RU"/>
                    </w:rPr>
                    <w:t>8</w:t>
                  </w:r>
                </w:p>
              </w:tc>
              <w:tc>
                <w:tcPr>
                  <w:tcW w:w="7967" w:type="dxa"/>
                  <w:shd w:val="clear" w:color="auto" w:fill="auto"/>
                </w:tcPr>
                <w:p>
                  <w:pPr>
                    <w:rPr>
                      <w:rFonts w:eastAsia="Times New Roman"/>
                      <w:lang w:val="uk-UA" w:eastAsia="ru-RU"/>
                    </w:rPr>
                  </w:pPr>
                  <w:r>
                    <w:rPr>
                      <w:rFonts w:eastAsia="Times New Roman"/>
                      <w:lang w:val="uk-UA" w:eastAsia="ru-RU"/>
                    </w:rPr>
                    <w:t>Подвійний інтеграл.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shd w:val="clear" w:color="auto" w:fill="auto"/>
                </w:tcPr>
                <w:p>
                  <w:pPr>
                    <w:jc w:val="center"/>
                    <w:rPr>
                      <w:rFonts w:eastAsia="Times New Roman"/>
                      <w:lang w:val="uk-UA" w:eastAsia="ru-RU"/>
                    </w:rPr>
                  </w:pPr>
                  <w:r>
                    <w:rPr>
                      <w:rFonts w:eastAsia="Times New Roman"/>
                      <w:lang w:val="uk-UA" w:eastAsia="ru-RU"/>
                    </w:rPr>
                    <w:t>9</w:t>
                  </w:r>
                </w:p>
              </w:tc>
              <w:tc>
                <w:tcPr>
                  <w:tcW w:w="7967" w:type="dxa"/>
                  <w:shd w:val="clear" w:color="auto" w:fill="auto"/>
                </w:tcPr>
                <w:p>
                  <w:pPr>
                    <w:rPr>
                      <w:rFonts w:eastAsia="Times New Roman"/>
                      <w:lang w:val="uk-UA" w:eastAsia="ru-RU"/>
                    </w:rPr>
                  </w:pPr>
                  <w:r>
                    <w:rPr>
                      <w:rFonts w:eastAsia="Times New Roman"/>
                      <w:lang w:val="uk-UA" w:eastAsia="ru-RU"/>
                    </w:rPr>
                    <w:t>Диференціальне числення функцій багатьох змінних.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shd w:val="clear" w:color="auto" w:fill="auto"/>
                </w:tcPr>
                <w:p>
                  <w:pPr>
                    <w:jc w:val="center"/>
                    <w:rPr>
                      <w:rFonts w:eastAsia="Times New Roman"/>
                      <w:lang w:val="uk-UA" w:eastAsia="ru-RU"/>
                    </w:rPr>
                  </w:pPr>
                  <w:r>
                    <w:rPr>
                      <w:rFonts w:eastAsia="Times New Roman"/>
                      <w:lang w:val="uk-UA" w:eastAsia="ru-RU"/>
                    </w:rPr>
                    <w:t>10</w:t>
                  </w:r>
                </w:p>
              </w:tc>
              <w:tc>
                <w:tcPr>
                  <w:tcW w:w="7967" w:type="dxa"/>
                  <w:shd w:val="clear" w:color="auto" w:fill="auto"/>
                </w:tcPr>
                <w:p>
                  <w:pPr>
                    <w:rPr>
                      <w:rFonts w:eastAsia="Times New Roman"/>
                      <w:lang w:val="uk-UA" w:eastAsia="ru-RU"/>
                    </w:rPr>
                  </w:pPr>
                  <w:r>
                    <w:rPr>
                      <w:rFonts w:eastAsia="Times New Roman"/>
                      <w:lang w:val="uk-UA" w:eastAsia="ru-RU"/>
                    </w:rPr>
                    <w:t>Ряди.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shd w:val="clear" w:color="auto" w:fill="auto"/>
                </w:tcPr>
                <w:p>
                  <w:pPr>
                    <w:jc w:val="center"/>
                    <w:rPr>
                      <w:rFonts w:eastAsia="Times New Roman"/>
                      <w:lang w:val="uk-UA" w:eastAsia="ru-RU"/>
                    </w:rPr>
                  </w:pPr>
                  <w:r>
                    <w:rPr>
                      <w:rFonts w:eastAsia="Times New Roman"/>
                      <w:lang w:val="uk-UA" w:eastAsia="ru-RU"/>
                    </w:rPr>
                    <w:t>11</w:t>
                  </w:r>
                </w:p>
              </w:tc>
              <w:tc>
                <w:tcPr>
                  <w:tcW w:w="7967" w:type="dxa"/>
                  <w:shd w:val="clear" w:color="auto" w:fill="auto"/>
                </w:tcPr>
                <w:p>
                  <w:pPr>
                    <w:rPr>
                      <w:rFonts w:eastAsia="Times New Roman"/>
                      <w:lang w:val="uk-UA" w:eastAsia="ru-RU"/>
                    </w:rPr>
                  </w:pPr>
                  <w:r>
                    <w:rPr>
                      <w:rFonts w:eastAsia="Times New Roman"/>
                      <w:lang w:val="uk-UA" w:eastAsia="ru-RU"/>
                    </w:rPr>
                    <w:t>Диференціальні рівняння.</w:t>
                  </w:r>
                </w:p>
              </w:tc>
            </w:tr>
          </w:tbl>
          <w:p>
            <w:pPr>
              <w:spacing w:before="40" w:after="40"/>
              <w:jc w:val="both"/>
              <w:rPr>
                <w:b/>
                <w:lang w:val="uk-UA"/>
              </w:rPr>
            </w:pPr>
            <w:r>
              <w:rPr>
                <w:lang w:val="uk-UA"/>
              </w:rPr>
              <w:t xml:space="preserve">   </w:t>
            </w:r>
            <w:r>
              <w:rPr>
                <w:b/>
                <w:lang w:val="uk-UA"/>
              </w:rPr>
              <w:t xml:space="preserve"> Лабораторні: не передбачено</w:t>
            </w:r>
          </w:p>
          <w:p>
            <w:pPr>
              <w:spacing w:before="40" w:after="40"/>
              <w:jc w:val="both"/>
              <w:rPr>
                <w:b/>
                <w:u w:val="single"/>
                <w:lang w:val="uk-UA"/>
              </w:rPr>
            </w:pPr>
            <w:r>
              <w:rPr>
                <w:lang w:val="uk-UA"/>
              </w:rPr>
              <w:t xml:space="preserve">     </w:t>
            </w:r>
            <w:r>
              <w:rPr>
                <w:b/>
                <w:u w:val="single"/>
                <w:lang w:val="uk-UA"/>
              </w:rPr>
              <w:t>Індивідуальні завдання</w:t>
            </w:r>
          </w:p>
          <w:tbl>
            <w:tblPr>
              <w:tblStyle w:val="3"/>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7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689" w:type="dxa"/>
                  <w:vMerge w:val="restart"/>
                  <w:shd w:val="clear" w:color="auto" w:fill="auto"/>
                  <w:vAlign w:val="center"/>
                </w:tcPr>
                <w:p>
                  <w:pPr>
                    <w:ind w:left="142" w:hanging="142"/>
                    <w:jc w:val="center"/>
                    <w:rPr>
                      <w:rFonts w:eastAsia="Times New Roman"/>
                      <w:lang w:val="uk-UA" w:eastAsia="ru-RU"/>
                    </w:rPr>
                  </w:pPr>
                  <w:r>
                    <w:rPr>
                      <w:rFonts w:eastAsia="Times New Roman"/>
                      <w:lang w:val="uk-UA" w:eastAsia="ru-RU"/>
                    </w:rPr>
                    <w:t>№</w:t>
                  </w:r>
                </w:p>
              </w:tc>
              <w:tc>
                <w:tcPr>
                  <w:tcW w:w="7958" w:type="dxa"/>
                  <w:vMerge w:val="restart"/>
                  <w:shd w:val="clear" w:color="auto" w:fill="auto"/>
                  <w:vAlign w:val="center"/>
                </w:tcPr>
                <w:p>
                  <w:pPr>
                    <w:jc w:val="center"/>
                    <w:rPr>
                      <w:rFonts w:eastAsia="Times New Roman"/>
                      <w:lang w:val="uk-UA" w:eastAsia="ru-RU"/>
                    </w:rPr>
                  </w:pPr>
                  <w:r>
                    <w:rPr>
                      <w:rFonts w:eastAsia="Times New Roman"/>
                      <w:lang w:val="uk-UA" w:eastAsia="ru-RU"/>
                    </w:rPr>
                    <w:t>Назва теми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689" w:type="dxa"/>
                  <w:vMerge w:val="continue"/>
                  <w:shd w:val="clear" w:color="auto" w:fill="auto"/>
                  <w:vAlign w:val="center"/>
                </w:tcPr>
                <w:p>
                  <w:pPr>
                    <w:ind w:left="142" w:hanging="142"/>
                    <w:jc w:val="center"/>
                    <w:rPr>
                      <w:rFonts w:eastAsia="Times New Roman"/>
                      <w:lang w:val="uk-UA" w:eastAsia="ru-RU"/>
                    </w:rPr>
                  </w:pPr>
                </w:p>
              </w:tc>
              <w:tc>
                <w:tcPr>
                  <w:tcW w:w="7958" w:type="dxa"/>
                  <w:vMerge w:val="continue"/>
                  <w:shd w:val="clear" w:color="auto" w:fill="auto"/>
                  <w:vAlign w:val="center"/>
                </w:tcPr>
                <w:p>
                  <w:pPr>
                    <w:jc w:val="center"/>
                    <w:rPr>
                      <w:rFonts w:eastAsia="Times New Roman"/>
                      <w:lang w:val="uk-UA"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shd w:val="clear" w:color="auto" w:fill="auto"/>
                </w:tcPr>
                <w:p>
                  <w:pPr>
                    <w:jc w:val="center"/>
                    <w:rPr>
                      <w:rFonts w:eastAsia="Times New Roman"/>
                      <w:lang w:val="uk-UA" w:eastAsia="ru-RU"/>
                    </w:rPr>
                  </w:pPr>
                  <w:r>
                    <w:rPr>
                      <w:rFonts w:eastAsia="Times New Roman"/>
                      <w:lang w:val="uk-UA" w:eastAsia="ru-RU"/>
                    </w:rPr>
                    <w:t>1</w:t>
                  </w:r>
                </w:p>
              </w:tc>
              <w:tc>
                <w:tcPr>
                  <w:tcW w:w="7958" w:type="dxa"/>
                  <w:shd w:val="clear" w:color="auto" w:fill="auto"/>
                </w:tcPr>
                <w:p>
                  <w:pPr>
                    <w:tabs>
                      <w:tab w:val="left" w:pos="284"/>
                      <w:tab w:val="left" w:pos="567"/>
                    </w:tabs>
                    <w:jc w:val="both"/>
                    <w:rPr>
                      <w:rFonts w:eastAsia="Times New Roman"/>
                      <w:lang w:val="uk-UA" w:eastAsia="ru-RU"/>
                    </w:rPr>
                  </w:pPr>
                  <w:r>
                    <w:rPr>
                      <w:rFonts w:eastAsia="Times New Roman"/>
                      <w:lang w:val="uk-UA" w:eastAsia="ru-RU"/>
                    </w:rPr>
                    <w:t>Лінійна алгебра, векторний аналіз та елементи аналітичної геометрії.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shd w:val="clear" w:color="auto" w:fill="auto"/>
                </w:tcPr>
                <w:p>
                  <w:pPr>
                    <w:jc w:val="center"/>
                    <w:rPr>
                      <w:rFonts w:eastAsia="Times New Roman"/>
                      <w:lang w:val="uk-UA" w:eastAsia="ru-RU"/>
                    </w:rPr>
                  </w:pPr>
                  <w:r>
                    <w:rPr>
                      <w:rFonts w:eastAsia="Times New Roman"/>
                      <w:lang w:val="uk-UA" w:eastAsia="ru-RU"/>
                    </w:rPr>
                    <w:t>2</w:t>
                  </w:r>
                </w:p>
              </w:tc>
              <w:tc>
                <w:tcPr>
                  <w:tcW w:w="7958" w:type="dxa"/>
                  <w:shd w:val="clear" w:color="auto" w:fill="auto"/>
                </w:tcPr>
                <w:p>
                  <w:pPr>
                    <w:tabs>
                      <w:tab w:val="left" w:pos="284"/>
                      <w:tab w:val="left" w:pos="567"/>
                    </w:tabs>
                    <w:jc w:val="both"/>
                    <w:rPr>
                      <w:rFonts w:eastAsia="Times New Roman"/>
                      <w:lang w:val="uk-UA" w:eastAsia="ru-RU"/>
                    </w:rPr>
                  </w:pPr>
                  <w:r>
                    <w:rPr>
                      <w:rFonts w:eastAsia="Times New Roman"/>
                      <w:lang w:val="uk-UA" w:eastAsia="ru-RU"/>
                    </w:rPr>
                    <w:t>Дослідження функцій однієї дійсної змінної засобами математичного аналізу та побудова графіків.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shd w:val="clear" w:color="auto" w:fill="auto"/>
                </w:tcPr>
                <w:p>
                  <w:pPr>
                    <w:jc w:val="center"/>
                    <w:rPr>
                      <w:rFonts w:eastAsia="Times New Roman"/>
                      <w:lang w:val="uk-UA" w:eastAsia="ru-RU"/>
                    </w:rPr>
                  </w:pPr>
                  <w:r>
                    <w:rPr>
                      <w:rFonts w:eastAsia="Times New Roman"/>
                      <w:lang w:val="uk-UA" w:eastAsia="ru-RU"/>
                    </w:rPr>
                    <w:t>3</w:t>
                  </w:r>
                </w:p>
              </w:tc>
              <w:tc>
                <w:tcPr>
                  <w:tcW w:w="7958" w:type="dxa"/>
                  <w:shd w:val="clear" w:color="auto" w:fill="auto"/>
                </w:tcPr>
                <w:p>
                  <w:pPr>
                    <w:tabs>
                      <w:tab w:val="left" w:pos="284"/>
                      <w:tab w:val="left" w:pos="567"/>
                    </w:tabs>
                    <w:jc w:val="both"/>
                    <w:rPr>
                      <w:rFonts w:eastAsia="Times New Roman"/>
                      <w:lang w:val="uk-UA" w:eastAsia="ru-RU"/>
                    </w:rPr>
                  </w:pPr>
                  <w:r>
                    <w:rPr>
                      <w:rFonts w:eastAsia="Times New Roman"/>
                      <w:lang w:val="uk-UA" w:eastAsia="ru-RU"/>
                    </w:rPr>
                    <w:t>Інтегральне числення. Подвійий інтеграл.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shd w:val="clear" w:color="auto" w:fill="auto"/>
                </w:tcPr>
                <w:p>
                  <w:pPr>
                    <w:jc w:val="center"/>
                    <w:rPr>
                      <w:rFonts w:eastAsia="Times New Roman"/>
                      <w:lang w:val="uk-UA" w:eastAsia="ru-RU"/>
                    </w:rPr>
                  </w:pPr>
                  <w:r>
                    <w:rPr>
                      <w:rFonts w:eastAsia="Times New Roman"/>
                      <w:lang w:val="uk-UA" w:eastAsia="ru-RU"/>
                    </w:rPr>
                    <w:t>4</w:t>
                  </w:r>
                </w:p>
              </w:tc>
              <w:tc>
                <w:tcPr>
                  <w:tcW w:w="7958" w:type="dxa"/>
                  <w:shd w:val="clear" w:color="auto" w:fill="auto"/>
                </w:tcPr>
                <w:p>
                  <w:pPr>
                    <w:tabs>
                      <w:tab w:val="left" w:pos="284"/>
                      <w:tab w:val="left" w:pos="567"/>
                    </w:tabs>
                    <w:jc w:val="both"/>
                    <w:rPr>
                      <w:rFonts w:eastAsia="Times New Roman"/>
                      <w:lang w:val="uk-UA" w:eastAsia="ru-RU"/>
                    </w:rPr>
                  </w:pPr>
                  <w:r>
                    <w:rPr>
                      <w:rFonts w:eastAsia="Times New Roman"/>
                      <w:lang w:val="uk-UA" w:eastAsia="ru-RU"/>
                    </w:rPr>
                    <w:t>Диференціальні рівняння і ряди.</w:t>
                  </w:r>
                </w:p>
              </w:tc>
            </w:tr>
          </w:tbl>
          <w:p>
            <w:pPr>
              <w:spacing w:before="40" w:after="40"/>
              <w:jc w:val="both"/>
              <w:rPr>
                <w:b/>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1161" w:hRule="atLeast"/>
        </w:trPr>
        <w:tc>
          <w:tcPr>
            <w:tcW w:w="5000" w:type="pct"/>
            <w:gridSpan w:val="11"/>
            <w:tcBorders>
              <w:top w:val="single" w:color="auto" w:sz="4" w:space="0"/>
              <w:left w:val="single" w:color="auto" w:sz="4" w:space="0"/>
              <w:bottom w:val="single" w:color="auto" w:sz="4" w:space="0"/>
              <w:right w:val="single" w:color="auto" w:sz="4" w:space="0"/>
            </w:tcBorders>
          </w:tcPr>
          <w:p>
            <w:pPr>
              <w:jc w:val="both"/>
              <w:rPr>
                <w:b/>
              </w:rPr>
            </w:pPr>
            <w:r>
              <w:rPr>
                <w:b/>
              </w:rPr>
              <w:t>18) Основна література:</w:t>
            </w:r>
          </w:p>
          <w:p>
            <w:pPr>
              <w:numPr>
                <w:ilvl w:val="0"/>
                <w:numId w:val="2"/>
              </w:numPr>
              <w:shd w:val="clear" w:color="auto" w:fill="FFFFFF"/>
              <w:tabs>
                <w:tab w:val="left" w:pos="276"/>
              </w:tabs>
              <w:ind w:left="61" w:firstLine="0"/>
              <w:jc w:val="both"/>
              <w:rPr>
                <w:rFonts w:eastAsia="Times New Roman"/>
                <w:lang w:val="uk-UA" w:eastAsia="ru-RU"/>
              </w:rPr>
            </w:pPr>
            <w:r>
              <w:rPr>
                <w:rFonts w:eastAsia="Times New Roman"/>
                <w:lang w:val="uk-UA" w:eastAsia="ru-RU"/>
              </w:rPr>
              <w:t xml:space="preserve">Вища математика. Модуль 1. Лінійна алгебра і векторний аналіз: методичні вказівки до практичних знань / уклад.: О.В.  Доля, Ю.А. Коротких. – К.: КНУБА, 2014. – 40с. </w:t>
            </w:r>
          </w:p>
          <w:p>
            <w:pPr>
              <w:numPr>
                <w:ilvl w:val="0"/>
                <w:numId w:val="2"/>
              </w:numPr>
              <w:shd w:val="clear" w:color="auto" w:fill="FFFFFF"/>
              <w:tabs>
                <w:tab w:val="left" w:pos="276"/>
              </w:tabs>
              <w:ind w:left="61" w:firstLine="0"/>
              <w:jc w:val="both"/>
              <w:rPr>
                <w:rFonts w:eastAsia="Times New Roman"/>
                <w:lang w:val="uk-UA" w:eastAsia="ru-RU"/>
              </w:rPr>
            </w:pPr>
            <w:r>
              <w:rPr>
                <w:rFonts w:eastAsia="Times New Roman"/>
                <w:lang w:val="uk-UA" w:eastAsia="ru-RU"/>
              </w:rPr>
              <w:t>Вища математика: Методичні вказівки до виконання індивідуальних завдань. / Н.Д. Федоренко, С.В. Білощицька, О.В. Доля. – К.: КНУБА, –2018. -94 с. – ел.док.</w:t>
            </w:r>
          </w:p>
          <w:p>
            <w:pPr>
              <w:numPr>
                <w:ilvl w:val="0"/>
                <w:numId w:val="2"/>
              </w:numPr>
              <w:shd w:val="clear" w:color="auto" w:fill="FFFFFF"/>
              <w:tabs>
                <w:tab w:val="left" w:pos="276"/>
              </w:tabs>
              <w:ind w:left="61" w:firstLine="0"/>
              <w:jc w:val="both"/>
              <w:rPr>
                <w:rFonts w:eastAsia="Times New Roman"/>
                <w:lang w:val="uk-UA" w:eastAsia="ru-RU"/>
              </w:rPr>
            </w:pPr>
            <w:r>
              <w:rPr>
                <w:rFonts w:eastAsia="Times New Roman"/>
                <w:lang w:val="uk-UA" w:eastAsia="ru-RU"/>
              </w:rPr>
              <w:t>Вища математика. Інтегральне числення: Методичні вказівки до виконання індивідуальних завдань. / Н.Д. Федоренко, С.В. Білощицька, О.В. Доля та ін. – К. : КНУБА, -2007. – 64 с. – 38 прим.</w:t>
            </w:r>
          </w:p>
          <w:p>
            <w:pPr>
              <w:numPr>
                <w:ilvl w:val="0"/>
                <w:numId w:val="2"/>
              </w:numPr>
              <w:shd w:val="clear" w:color="auto" w:fill="FFFFFF"/>
              <w:tabs>
                <w:tab w:val="left" w:pos="276"/>
              </w:tabs>
              <w:ind w:left="61" w:firstLine="0"/>
              <w:jc w:val="both"/>
              <w:rPr>
                <w:rFonts w:eastAsia="Times New Roman"/>
                <w:lang w:val="uk-UA" w:eastAsia="ru-RU"/>
              </w:rPr>
            </w:pPr>
            <w:r>
              <w:rPr>
                <w:rFonts w:eastAsia="Times New Roman"/>
                <w:lang w:val="uk-UA" w:eastAsia="ru-RU"/>
              </w:rPr>
              <w:t>Вища математика. Ряди: Методичні вказівки до виконання індивідуальних завдань. / Н.Д. Федоренко, О.В. Доля та ін. – К.: КНУБА, 2008. – 36 с. – 38 прим.</w:t>
            </w:r>
          </w:p>
          <w:p>
            <w:pPr>
              <w:numPr>
                <w:ilvl w:val="0"/>
                <w:numId w:val="2"/>
              </w:numPr>
              <w:shd w:val="clear" w:color="auto" w:fill="FFFFFF"/>
              <w:tabs>
                <w:tab w:val="left" w:pos="276"/>
              </w:tabs>
              <w:ind w:left="61" w:firstLine="0"/>
              <w:jc w:val="both"/>
              <w:rPr>
                <w:rFonts w:eastAsia="Times New Roman"/>
                <w:lang w:val="uk-UA" w:eastAsia="ru-RU"/>
              </w:rPr>
            </w:pPr>
            <w:r>
              <w:rPr>
                <w:rFonts w:eastAsia="Times New Roman"/>
                <w:lang w:val="uk-UA" w:eastAsia="ru-RU"/>
              </w:rPr>
              <w:t>Вища математика. Звичайні диференціальні рівняння: Методичні вказівки до виконання індивідуальних завдань. / В.М. Міхайленко та ін. – Київ: КНУБА, 2007. – 68 с. – 58 прим.</w:t>
            </w:r>
          </w:p>
          <w:p>
            <w:pPr>
              <w:shd w:val="clear" w:color="auto" w:fill="FFFFFF"/>
              <w:tabs>
                <w:tab w:val="left" w:pos="276"/>
              </w:tabs>
              <w:ind w:left="61"/>
              <w:jc w:val="both"/>
              <w:rPr>
                <w:rFonts w:eastAsia="Times New Roman"/>
                <w:lang w:val="uk-UA" w:eastAsia="ru-RU"/>
              </w:rPr>
            </w:pPr>
            <w:r>
              <w:rPr>
                <w:rFonts w:eastAsia="Times New Roman"/>
                <w:lang w:val="uk-UA" w:eastAsia="ru-RU"/>
              </w:rPr>
              <w:t>6. Вища математика: Підручник для студ. вищ. техн. навч. закл. : У 2-х част. Ч.1 / П.П. Овчинников та ін. – Київ: Техніка, 2007. – 598 с. – 325 прим.</w:t>
            </w:r>
          </w:p>
          <w:p>
            <w:pPr>
              <w:shd w:val="clear" w:color="auto" w:fill="FFFFFF"/>
              <w:tabs>
                <w:tab w:val="left" w:pos="276"/>
              </w:tabs>
              <w:ind w:left="61"/>
              <w:jc w:val="both"/>
              <w:rPr>
                <w:rFonts w:eastAsia="Times New Roman"/>
                <w:lang w:val="uk-UA" w:eastAsia="ru-RU"/>
              </w:rPr>
            </w:pPr>
            <w:r>
              <w:rPr>
                <w:rFonts w:eastAsia="Times New Roman"/>
                <w:lang w:val="uk-UA" w:eastAsia="ru-RU"/>
              </w:rPr>
              <w:t>7. Вища математика: Підручник для студ. вищ. техн. навч. закл. : У 2-х част. Ч.2 / П.П. Овчинников та ін. – Київ: Техніка, 2004. – 791 с. – 167 прим.</w:t>
            </w:r>
          </w:p>
          <w:p>
            <w:pPr>
              <w:shd w:val="clear" w:color="auto" w:fill="FFFFFF"/>
              <w:tabs>
                <w:tab w:val="left" w:pos="276"/>
              </w:tabs>
              <w:ind w:left="61"/>
              <w:jc w:val="both"/>
              <w:rPr>
                <w:rFonts w:eastAsia="Times New Roman"/>
                <w:lang w:val="uk-UA" w:eastAsia="ru-RU"/>
              </w:rPr>
            </w:pPr>
            <w:r>
              <w:rPr>
                <w:rFonts w:eastAsia="Times New Roman"/>
                <w:lang w:val="uk-UA" w:eastAsia="ru-RU"/>
              </w:rPr>
              <w:t>8. Вища математика в прикладах і задачах: Навчальний посібник</w:t>
            </w:r>
            <w:r>
              <w:rPr>
                <w:rFonts w:eastAsia="Times New Roman"/>
                <w:lang w:eastAsia="ru-RU"/>
              </w:rPr>
              <w:t>/</w:t>
            </w:r>
            <w:r>
              <w:rPr>
                <w:rFonts w:eastAsia="Times New Roman"/>
                <w:lang w:val="uk-UA" w:eastAsia="ru-RU"/>
              </w:rPr>
              <w:t xml:space="preserve"> Л.І. Турчанінова, О.В. Доля. –  Київ: Ліра - К- 20</w:t>
            </w:r>
            <w:r>
              <w:rPr>
                <w:rFonts w:eastAsia="Times New Roman"/>
                <w:lang w:eastAsia="ru-RU"/>
              </w:rPr>
              <w:t>2</w:t>
            </w:r>
            <w:r>
              <w:rPr>
                <w:rFonts w:eastAsia="Times New Roman"/>
                <w:lang w:val="uk-UA" w:eastAsia="ru-RU"/>
              </w:rPr>
              <w:t xml:space="preserve">1. – 348 с. - </w:t>
            </w:r>
            <w:r>
              <w:rPr>
                <w:rFonts w:eastAsia="Times New Roman"/>
                <w:lang w:eastAsia="ru-RU"/>
              </w:rPr>
              <w:t>1</w:t>
            </w:r>
            <w:r>
              <w:rPr>
                <w:rFonts w:eastAsia="Times New Roman"/>
                <w:lang w:val="uk-UA" w:eastAsia="ru-RU"/>
              </w:rPr>
              <w:t>5</w:t>
            </w:r>
            <w:r>
              <w:rPr>
                <w:rFonts w:eastAsia="Times New Roman"/>
                <w:lang w:eastAsia="ru-RU"/>
              </w:rPr>
              <w:t>0</w:t>
            </w:r>
            <w:r>
              <w:rPr>
                <w:rFonts w:eastAsia="Times New Roman"/>
                <w:lang w:val="uk-UA" w:eastAsia="ru-RU"/>
              </w:rPr>
              <w:t xml:space="preserve"> прим.</w:t>
            </w:r>
          </w:p>
          <w:p>
            <w:pPr>
              <w:shd w:val="clear" w:color="auto" w:fill="FFFFFF"/>
              <w:tabs>
                <w:tab w:val="left" w:pos="276"/>
              </w:tabs>
              <w:ind w:left="61"/>
              <w:jc w:val="both"/>
              <w:rPr>
                <w:rFonts w:eastAsia="Times New Roman"/>
                <w:lang w:val="uk-UA" w:eastAsia="ru-RU"/>
              </w:rPr>
            </w:pPr>
            <w:r>
              <w:rPr>
                <w:rFonts w:eastAsia="Times New Roman"/>
                <w:lang w:val="uk-UA" w:eastAsia="ru-RU"/>
              </w:rPr>
              <w:t>9. Практикум з вищої математики: Навчальний посібник. – Видання друге, доповнене і перероблене. / Л.І. Турчанінова, О.В. Доля. – КНУБА. – Київ: Кондор,- 2010. – 246 с. - 50 прим.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1335" w:hRule="atLeast"/>
        </w:trPr>
        <w:tc>
          <w:tcPr>
            <w:tcW w:w="5000" w:type="pct"/>
            <w:gridSpan w:val="11"/>
            <w:tcBorders>
              <w:top w:val="single" w:color="auto" w:sz="4" w:space="0"/>
              <w:left w:val="single" w:color="auto" w:sz="4" w:space="0"/>
              <w:bottom w:val="single" w:color="auto" w:sz="4" w:space="0"/>
              <w:right w:val="single" w:color="auto" w:sz="4" w:space="0"/>
            </w:tcBorders>
          </w:tcPr>
          <w:p>
            <w:pPr>
              <w:jc w:val="both"/>
              <w:rPr>
                <w:b/>
                <w:sz w:val="19"/>
                <w:szCs w:val="19"/>
              </w:rPr>
            </w:pPr>
            <w:r>
              <w:rPr>
                <w:b/>
                <w:sz w:val="19"/>
                <w:szCs w:val="19"/>
              </w:rPr>
              <w:t>19) Додатков</w:t>
            </w:r>
            <w:r>
              <w:rPr>
                <w:b/>
                <w:sz w:val="19"/>
                <w:szCs w:val="19"/>
                <w:lang w:val="uk-UA"/>
              </w:rPr>
              <w:t>і</w:t>
            </w:r>
            <w:r>
              <w:rPr>
                <w:b/>
                <w:sz w:val="19"/>
                <w:szCs w:val="19"/>
              </w:rPr>
              <w:t xml:space="preserve"> </w:t>
            </w:r>
            <w:r>
              <w:rPr>
                <w:b/>
                <w:sz w:val="19"/>
                <w:szCs w:val="19"/>
                <w:lang w:val="uk-UA"/>
              </w:rPr>
              <w:t>джерела</w:t>
            </w:r>
            <w:r>
              <w:rPr>
                <w:b/>
                <w:sz w:val="19"/>
                <w:szCs w:val="19"/>
              </w:rPr>
              <w:t>:</w:t>
            </w:r>
          </w:p>
          <w:p>
            <w:pPr>
              <w:numPr>
                <w:ilvl w:val="0"/>
                <w:numId w:val="3"/>
              </w:numPr>
              <w:shd w:val="clear" w:color="auto" w:fill="FFFFFF"/>
              <w:tabs>
                <w:tab w:val="left" w:pos="276"/>
              </w:tabs>
              <w:jc w:val="both"/>
              <w:rPr>
                <w:rFonts w:eastAsia="Times New Roman"/>
                <w:lang w:val="uk-UA" w:eastAsia="ru-RU"/>
              </w:rPr>
            </w:pPr>
            <w:r>
              <w:rPr>
                <w:rFonts w:eastAsia="Times New Roman"/>
                <w:lang w:val="uk-UA" w:eastAsia="ru-RU"/>
              </w:rPr>
              <w:t>Вища математика: Навч. посібник.- В.П.Дубовик, І.І. Юрик. – К.: А.С.К., 2004. – 648 с.</w:t>
            </w:r>
          </w:p>
          <w:p>
            <w:pPr>
              <w:numPr>
                <w:ilvl w:val="0"/>
                <w:numId w:val="3"/>
              </w:numPr>
              <w:shd w:val="clear" w:color="auto" w:fill="FFFFFF"/>
              <w:tabs>
                <w:tab w:val="left" w:pos="276"/>
              </w:tabs>
              <w:jc w:val="both"/>
              <w:rPr>
                <w:rFonts w:eastAsia="Times New Roman"/>
                <w:lang w:val="uk-UA" w:eastAsia="ru-RU"/>
              </w:rPr>
            </w:pPr>
            <w:r>
              <w:rPr>
                <w:rFonts w:eastAsia="Times New Roman"/>
                <w:lang w:val="uk-UA" w:eastAsia="ru-RU"/>
              </w:rPr>
              <w:t>Вища математика. Збірник задач: Навч. посібник / В.П.Дубовик та ін. – К. А.С.К., -2003. – 480 с.</w:t>
            </w:r>
          </w:p>
          <w:p>
            <w:pPr>
              <w:numPr>
                <w:ilvl w:val="0"/>
                <w:numId w:val="3"/>
              </w:numPr>
              <w:shd w:val="clear" w:color="auto" w:fill="FFFFFF"/>
              <w:tabs>
                <w:tab w:val="left" w:pos="187"/>
                <w:tab w:val="left" w:pos="276"/>
              </w:tabs>
              <w:jc w:val="both"/>
              <w:rPr>
                <w:rFonts w:eastAsia="Times New Roman"/>
                <w:lang w:val="uk-UA" w:eastAsia="ru-RU"/>
              </w:rPr>
            </w:pPr>
            <w:r>
              <w:rPr>
                <w:rFonts w:eastAsia="Times New Roman"/>
                <w:lang w:val="uk-UA" w:eastAsia="ru-RU"/>
              </w:rPr>
              <w:t>Курс алгебри та аналітичної геометрії: Навчальний посібник. / В.М.Міхайленко, О.О.Кубайчук. – К.: Університет України, 2013.-181 с.</w:t>
            </w:r>
          </w:p>
          <w:p>
            <w:pPr>
              <w:numPr>
                <w:ilvl w:val="0"/>
                <w:numId w:val="3"/>
              </w:numPr>
              <w:shd w:val="clear" w:color="auto" w:fill="FFFFFF"/>
              <w:tabs>
                <w:tab w:val="left" w:pos="187"/>
              </w:tabs>
              <w:jc w:val="both"/>
              <w:rPr>
                <w:lang w:val="uk-UA"/>
              </w:rPr>
            </w:pPr>
            <w:r>
              <w:fldChar w:fldCharType="begin"/>
            </w:r>
            <w:r>
              <w:instrText xml:space="preserve"> HYPERLINK "http://library.knuba.edu.ua/" </w:instrText>
            </w:r>
            <w:r>
              <w:fldChar w:fldCharType="separate"/>
            </w:r>
            <w:r>
              <w:rPr>
                <w:rStyle w:val="6"/>
                <w:lang w:val="uk-UA"/>
              </w:rPr>
              <w:t>http://library.knuba.edu.ua/</w:t>
            </w:r>
            <w:r>
              <w:rPr>
                <w:rStyle w:val="6"/>
                <w:lang w:val="uk-UA"/>
              </w:rPr>
              <w:fldChar w:fldCharType="end"/>
            </w:r>
          </w:p>
          <w:p>
            <w:pPr>
              <w:pStyle w:val="29"/>
              <w:widowControl w:val="0"/>
              <w:numPr>
                <w:ilvl w:val="0"/>
                <w:numId w:val="3"/>
              </w:numPr>
              <w:shd w:val="clear" w:color="auto" w:fill="FFFFFF"/>
              <w:tabs>
                <w:tab w:val="left" w:pos="365"/>
              </w:tabs>
              <w:autoSpaceDE w:val="0"/>
              <w:autoSpaceDN w:val="0"/>
              <w:adjustRightInd w:val="0"/>
              <w:spacing w:after="0" w:line="240" w:lineRule="auto"/>
              <w:rPr>
                <w:rFonts w:ascii="Times New Roman" w:hAnsi="Times New Roman" w:eastAsia="Times New Roman" w:cs="Times New Roman"/>
                <w:sz w:val="20"/>
                <w:szCs w:val="20"/>
                <w:lang w:val="uk-UA" w:eastAsia="ru-RU"/>
              </w:rPr>
            </w:pPr>
            <w:r>
              <w:fldChar w:fldCharType="begin"/>
            </w:r>
            <w:r>
              <w:instrText xml:space="preserve"> HYPERLINK "http://repositary.knuba.edu.ua/" </w:instrText>
            </w:r>
            <w:r>
              <w:fldChar w:fldCharType="separate"/>
            </w:r>
            <w:r>
              <w:rPr>
                <w:rStyle w:val="6"/>
                <w:rFonts w:ascii="Times New Roman" w:hAnsi="Times New Roman" w:cs="Times New Roman"/>
                <w:sz w:val="20"/>
                <w:szCs w:val="20"/>
                <w:lang w:val="uk-UA"/>
              </w:rPr>
              <w:t>http://repositary.knuba.edu.ua/</w:t>
            </w:r>
            <w:r>
              <w:rPr>
                <w:rStyle w:val="6"/>
                <w:rFonts w:ascii="Times New Roman" w:hAnsi="Times New Roman" w:cs="Times New Roman"/>
                <w:sz w:val="20"/>
                <w:szCs w:val="20"/>
                <w:lang w:val="uk-UA"/>
              </w:rPr>
              <w:fldChar w:fldCharType="end"/>
            </w:r>
          </w:p>
          <w:p>
            <w:pPr>
              <w:pStyle w:val="29"/>
              <w:widowControl w:val="0"/>
              <w:numPr>
                <w:ilvl w:val="0"/>
                <w:numId w:val="3"/>
              </w:numPr>
              <w:shd w:val="clear" w:color="auto" w:fill="FFFFFF"/>
              <w:tabs>
                <w:tab w:val="left" w:pos="365"/>
              </w:tabs>
              <w:autoSpaceDE w:val="0"/>
              <w:autoSpaceDN w:val="0"/>
              <w:adjustRightInd w:val="0"/>
              <w:spacing w:after="0" w:line="240" w:lineRule="auto"/>
              <w:rPr>
                <w:rFonts w:ascii="Times New Roman" w:hAnsi="Times New Roman" w:eastAsia="Times New Roman" w:cs="Times New Roman"/>
                <w:sz w:val="20"/>
                <w:szCs w:val="20"/>
                <w:lang w:val="uk-UA" w:eastAsia="ru-RU"/>
              </w:rPr>
            </w:pPr>
            <w:r>
              <w:fldChar w:fldCharType="begin"/>
            </w:r>
            <w:r>
              <w:instrText xml:space="preserve"> HYPERLINK "http://org2.knuba.edu.ua/course/view.php?id=903" </w:instrText>
            </w:r>
            <w:r>
              <w:fldChar w:fldCharType="separate"/>
            </w:r>
            <w:r>
              <w:rPr>
                <w:rStyle w:val="6"/>
                <w:rFonts w:ascii="Times New Roman" w:hAnsi="Times New Roman" w:cs="Times New Roman"/>
                <w:sz w:val="20"/>
                <w:szCs w:val="20"/>
                <w:lang w:val="uk-UA"/>
              </w:rPr>
              <w:t>http://org2.knuba.edu.ua/course/view.php?id=903</w:t>
            </w:r>
            <w:r>
              <w:rPr>
                <w:rStyle w:val="6"/>
                <w:rFonts w:ascii="Times New Roman" w:hAnsi="Times New Roman" w:cs="Times New Roman"/>
                <w:sz w:val="20"/>
                <w:szCs w:val="20"/>
                <w:lang w:val="uk-U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5000" w:type="pct"/>
            <w:gridSpan w:val="11"/>
            <w:tcBorders>
              <w:top w:val="single" w:color="auto" w:sz="4" w:space="0"/>
              <w:left w:val="single" w:color="auto" w:sz="4" w:space="0"/>
              <w:bottom w:val="double" w:color="auto" w:sz="4" w:space="0"/>
              <w:right w:val="single" w:color="auto" w:sz="4" w:space="0"/>
            </w:tcBorders>
          </w:tcPr>
          <w:p>
            <w:pPr>
              <w:spacing w:before="40" w:after="40"/>
              <w:ind w:left="360" w:hanging="360"/>
              <w:rPr>
                <w:b/>
                <w:bCs/>
                <w:lang w:val="uk-UA"/>
              </w:rPr>
            </w:pPr>
            <w:r>
              <w:rPr>
                <w:b/>
                <w:bCs/>
                <w:sz w:val="19"/>
                <w:szCs w:val="19"/>
                <w:lang w:val="uk-UA"/>
              </w:rPr>
              <w:t xml:space="preserve">20) </w:t>
            </w:r>
            <w:r>
              <w:rPr>
                <w:b/>
                <w:bCs/>
                <w:lang w:val="uk-UA"/>
              </w:rPr>
              <w:t>Система оцінювання навчальних досягнень (розподілів балів)</w:t>
            </w:r>
          </w:p>
          <w:tbl>
            <w:tblPr>
              <w:tblStyle w:val="3"/>
              <w:tblW w:w="10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1454"/>
              <w:gridCol w:w="2126"/>
              <w:gridCol w:w="1471"/>
              <w:gridCol w:w="1701"/>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427" w:type="dxa"/>
                  <w:gridSpan w:val="4"/>
                  <w:shd w:val="clear" w:color="auto" w:fill="auto"/>
                </w:tcPr>
                <w:p>
                  <w:pPr>
                    <w:jc w:val="center"/>
                    <w:rPr>
                      <w:rFonts w:eastAsia="Times New Roman"/>
                      <w:lang w:val="uk-UA" w:eastAsia="ru-RU"/>
                    </w:rPr>
                  </w:pPr>
                  <w:r>
                    <w:rPr>
                      <w:rFonts w:eastAsia="Times New Roman"/>
                      <w:lang w:val="uk-UA" w:eastAsia="ru-RU"/>
                    </w:rPr>
                    <w:t>Поточне оцінювання та самостійна робота</w:t>
                  </w:r>
                </w:p>
              </w:tc>
              <w:tc>
                <w:tcPr>
                  <w:tcW w:w="1701" w:type="dxa"/>
                  <w:vMerge w:val="restart"/>
                  <w:shd w:val="clear" w:color="auto" w:fill="auto"/>
                  <w:vAlign w:val="center"/>
                </w:tcPr>
                <w:p>
                  <w:pPr>
                    <w:jc w:val="center"/>
                    <w:rPr>
                      <w:rFonts w:eastAsia="Times New Roman"/>
                      <w:lang w:val="uk-UA" w:eastAsia="ru-RU"/>
                    </w:rPr>
                  </w:pPr>
                  <w:r>
                    <w:rPr>
                      <w:rFonts w:eastAsia="Times New Roman"/>
                      <w:lang w:val="uk-UA" w:eastAsia="ru-RU"/>
                    </w:rPr>
                    <w:t>Підсумковий тест (екзамен)</w:t>
                  </w:r>
                </w:p>
              </w:tc>
              <w:tc>
                <w:tcPr>
                  <w:tcW w:w="1186" w:type="dxa"/>
                  <w:vMerge w:val="restart"/>
                  <w:shd w:val="clear" w:color="auto" w:fill="auto"/>
                  <w:vAlign w:val="center"/>
                </w:tcPr>
                <w:p>
                  <w:pPr>
                    <w:jc w:val="center"/>
                    <w:rPr>
                      <w:rFonts w:eastAsia="Times New Roman"/>
                      <w:lang w:val="uk-UA" w:eastAsia="ru-RU"/>
                    </w:rPr>
                  </w:pPr>
                  <w:r>
                    <w:rPr>
                      <w:rFonts w:eastAsia="Times New Roman"/>
                      <w:lang w:val="uk-UA" w:eastAsia="ru-RU"/>
                    </w:rPr>
                    <w:t>Сума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3830" w:type="dxa"/>
                  <w:gridSpan w:val="2"/>
                  <w:shd w:val="clear" w:color="auto" w:fill="auto"/>
                </w:tcPr>
                <w:p>
                  <w:pPr>
                    <w:jc w:val="center"/>
                    <w:rPr>
                      <w:rFonts w:eastAsia="Times New Roman"/>
                      <w:lang w:val="uk-UA" w:eastAsia="ru-RU"/>
                    </w:rPr>
                  </w:pPr>
                  <w:r>
                    <w:rPr>
                      <w:rFonts w:eastAsia="Times New Roman"/>
                      <w:lang w:val="uk-UA" w:eastAsia="ru-RU"/>
                    </w:rPr>
                    <w:t>Змістовий модуль №1</w:t>
                  </w:r>
                </w:p>
              </w:tc>
              <w:tc>
                <w:tcPr>
                  <w:tcW w:w="3597" w:type="dxa"/>
                  <w:gridSpan w:val="2"/>
                  <w:tcBorders>
                    <w:top w:val="single" w:color="auto" w:sz="4" w:space="0"/>
                  </w:tcBorders>
                  <w:shd w:val="clear" w:color="auto" w:fill="auto"/>
                </w:tcPr>
                <w:p>
                  <w:pPr>
                    <w:jc w:val="center"/>
                    <w:rPr>
                      <w:rFonts w:eastAsia="Times New Roman"/>
                      <w:lang w:val="uk-UA" w:eastAsia="ru-RU"/>
                    </w:rPr>
                  </w:pPr>
                  <w:r>
                    <w:rPr>
                      <w:rFonts w:eastAsia="Times New Roman"/>
                      <w:lang w:val="uk-UA" w:eastAsia="ru-RU"/>
                    </w:rPr>
                    <w:t>Змістовий модуль №2</w:t>
                  </w:r>
                </w:p>
              </w:tc>
              <w:tc>
                <w:tcPr>
                  <w:tcW w:w="1701" w:type="dxa"/>
                  <w:vMerge w:val="continue"/>
                  <w:shd w:val="clear" w:color="auto" w:fill="auto"/>
                </w:tcPr>
                <w:p>
                  <w:pPr>
                    <w:jc w:val="right"/>
                    <w:rPr>
                      <w:rFonts w:eastAsia="Times New Roman"/>
                      <w:lang w:val="uk-UA" w:eastAsia="ru-RU"/>
                    </w:rPr>
                  </w:pPr>
                </w:p>
              </w:tc>
              <w:tc>
                <w:tcPr>
                  <w:tcW w:w="1186" w:type="dxa"/>
                  <w:vMerge w:val="continue"/>
                  <w:shd w:val="clear" w:color="auto" w:fill="auto"/>
                </w:tcPr>
                <w:p>
                  <w:pPr>
                    <w:jc w:val="right"/>
                    <w:rPr>
                      <w:rFonts w:eastAsia="Times New Roman"/>
                      <w:lang w:val="uk-UA"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76" w:type="dxa"/>
                  <w:shd w:val="clear" w:color="auto" w:fill="auto"/>
                  <w:vAlign w:val="center"/>
                </w:tcPr>
                <w:p>
                  <w:pPr>
                    <w:jc w:val="center"/>
                    <w:rPr>
                      <w:rFonts w:eastAsia="Times New Roman"/>
                      <w:lang w:val="uk-UA" w:eastAsia="ru-RU"/>
                    </w:rPr>
                  </w:pPr>
                  <w:r>
                    <w:rPr>
                      <w:rFonts w:eastAsia="Times New Roman"/>
                      <w:lang w:val="uk-UA" w:eastAsia="ru-RU"/>
                    </w:rPr>
                    <w:t>теор. частина</w:t>
                  </w:r>
                </w:p>
              </w:tc>
              <w:tc>
                <w:tcPr>
                  <w:tcW w:w="1454" w:type="dxa"/>
                  <w:shd w:val="clear" w:color="auto" w:fill="auto"/>
                  <w:vAlign w:val="center"/>
                </w:tcPr>
                <w:p>
                  <w:pPr>
                    <w:jc w:val="center"/>
                    <w:rPr>
                      <w:rFonts w:eastAsia="Times New Roman"/>
                      <w:lang w:val="uk-UA" w:eastAsia="ru-RU"/>
                    </w:rPr>
                  </w:pPr>
                  <w:r>
                    <w:rPr>
                      <w:rFonts w:eastAsia="Times New Roman"/>
                      <w:lang w:val="uk-UA" w:eastAsia="ru-RU"/>
                    </w:rPr>
                    <w:t>РГР</w:t>
                  </w:r>
                </w:p>
              </w:tc>
              <w:tc>
                <w:tcPr>
                  <w:tcW w:w="2126" w:type="dxa"/>
                  <w:shd w:val="clear" w:color="auto" w:fill="auto"/>
                  <w:vAlign w:val="center"/>
                </w:tcPr>
                <w:p>
                  <w:pPr>
                    <w:jc w:val="center"/>
                    <w:rPr>
                      <w:rFonts w:eastAsia="Times New Roman"/>
                      <w:lang w:val="uk-UA" w:eastAsia="ru-RU"/>
                    </w:rPr>
                  </w:pPr>
                  <w:r>
                    <w:rPr>
                      <w:rFonts w:eastAsia="Times New Roman"/>
                      <w:lang w:val="uk-UA" w:eastAsia="ru-RU"/>
                    </w:rPr>
                    <w:t>теор. частина</w:t>
                  </w:r>
                </w:p>
              </w:tc>
              <w:tc>
                <w:tcPr>
                  <w:tcW w:w="1471" w:type="dxa"/>
                  <w:shd w:val="clear" w:color="auto" w:fill="auto"/>
                  <w:vAlign w:val="center"/>
                </w:tcPr>
                <w:p>
                  <w:pPr>
                    <w:jc w:val="center"/>
                    <w:rPr>
                      <w:rFonts w:eastAsia="Times New Roman"/>
                      <w:lang w:val="uk-UA" w:eastAsia="ru-RU"/>
                    </w:rPr>
                  </w:pPr>
                  <w:r>
                    <w:rPr>
                      <w:rFonts w:eastAsia="Times New Roman"/>
                      <w:lang w:val="uk-UA" w:eastAsia="ru-RU"/>
                    </w:rPr>
                    <w:t>РГР</w:t>
                  </w:r>
                </w:p>
              </w:tc>
              <w:tc>
                <w:tcPr>
                  <w:tcW w:w="1701" w:type="dxa"/>
                  <w:vMerge w:val="continue"/>
                  <w:shd w:val="clear" w:color="auto" w:fill="auto"/>
                </w:tcPr>
                <w:p>
                  <w:pPr>
                    <w:jc w:val="right"/>
                    <w:rPr>
                      <w:rFonts w:eastAsia="Times New Roman"/>
                      <w:lang w:val="uk-UA" w:eastAsia="ru-RU"/>
                    </w:rPr>
                  </w:pPr>
                </w:p>
              </w:tc>
              <w:tc>
                <w:tcPr>
                  <w:tcW w:w="1186" w:type="dxa"/>
                  <w:vMerge w:val="continue"/>
                  <w:shd w:val="clear" w:color="auto" w:fill="auto"/>
                </w:tcPr>
                <w:p>
                  <w:pPr>
                    <w:jc w:val="right"/>
                    <w:rPr>
                      <w:rFonts w:eastAsia="Times New Roman"/>
                      <w:lang w:val="uk-UA"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shd w:val="clear" w:color="auto" w:fill="auto"/>
                </w:tcPr>
                <w:p>
                  <w:pPr>
                    <w:jc w:val="center"/>
                    <w:rPr>
                      <w:rFonts w:eastAsia="Times New Roman"/>
                      <w:lang w:val="uk-UA" w:eastAsia="ru-RU"/>
                    </w:rPr>
                  </w:pPr>
                  <w:r>
                    <w:rPr>
                      <w:rFonts w:eastAsia="Times New Roman"/>
                      <w:lang w:val="uk-UA" w:eastAsia="ru-RU"/>
                    </w:rPr>
                    <w:t>15</w:t>
                  </w:r>
                </w:p>
              </w:tc>
              <w:tc>
                <w:tcPr>
                  <w:tcW w:w="1454" w:type="dxa"/>
                  <w:shd w:val="clear" w:color="auto" w:fill="auto"/>
                </w:tcPr>
                <w:p>
                  <w:pPr>
                    <w:jc w:val="center"/>
                    <w:rPr>
                      <w:rFonts w:eastAsia="Times New Roman"/>
                      <w:lang w:val="uk-UA" w:eastAsia="ru-RU"/>
                    </w:rPr>
                  </w:pPr>
                  <w:r>
                    <w:rPr>
                      <w:rFonts w:eastAsia="Times New Roman"/>
                      <w:lang w:val="uk-UA" w:eastAsia="ru-RU"/>
                    </w:rPr>
                    <w:t>20</w:t>
                  </w:r>
                </w:p>
              </w:tc>
              <w:tc>
                <w:tcPr>
                  <w:tcW w:w="2126" w:type="dxa"/>
                  <w:shd w:val="clear" w:color="auto" w:fill="auto"/>
                </w:tcPr>
                <w:p>
                  <w:pPr>
                    <w:jc w:val="center"/>
                    <w:rPr>
                      <w:rFonts w:eastAsia="Times New Roman"/>
                      <w:lang w:val="uk-UA" w:eastAsia="ru-RU"/>
                    </w:rPr>
                  </w:pPr>
                  <w:r>
                    <w:rPr>
                      <w:rFonts w:eastAsia="Times New Roman"/>
                      <w:lang w:val="uk-UA" w:eastAsia="ru-RU"/>
                    </w:rPr>
                    <w:t>15</w:t>
                  </w:r>
                </w:p>
              </w:tc>
              <w:tc>
                <w:tcPr>
                  <w:tcW w:w="1471" w:type="dxa"/>
                  <w:shd w:val="clear" w:color="auto" w:fill="auto"/>
                </w:tcPr>
                <w:p>
                  <w:pPr>
                    <w:jc w:val="center"/>
                    <w:rPr>
                      <w:rFonts w:eastAsia="Times New Roman"/>
                      <w:lang w:val="uk-UA" w:eastAsia="ru-RU"/>
                    </w:rPr>
                  </w:pPr>
                  <w:r>
                    <w:rPr>
                      <w:rFonts w:eastAsia="Times New Roman"/>
                      <w:lang w:val="uk-UA" w:eastAsia="ru-RU"/>
                    </w:rPr>
                    <w:t>25</w:t>
                  </w:r>
                </w:p>
              </w:tc>
              <w:tc>
                <w:tcPr>
                  <w:tcW w:w="1701" w:type="dxa"/>
                  <w:shd w:val="clear" w:color="auto" w:fill="auto"/>
                </w:tcPr>
                <w:p>
                  <w:pPr>
                    <w:jc w:val="center"/>
                    <w:rPr>
                      <w:rFonts w:eastAsia="Times New Roman"/>
                      <w:lang w:val="uk-UA" w:eastAsia="ru-RU"/>
                    </w:rPr>
                  </w:pPr>
                  <w:r>
                    <w:rPr>
                      <w:rFonts w:eastAsia="Times New Roman"/>
                      <w:lang w:val="uk-UA" w:eastAsia="ru-RU"/>
                    </w:rPr>
                    <w:t>25</w:t>
                  </w:r>
                </w:p>
              </w:tc>
              <w:tc>
                <w:tcPr>
                  <w:tcW w:w="1186" w:type="dxa"/>
                  <w:shd w:val="clear" w:color="auto" w:fill="auto"/>
                </w:tcPr>
                <w:p>
                  <w:pPr>
                    <w:jc w:val="center"/>
                    <w:rPr>
                      <w:rFonts w:eastAsia="Times New Roman"/>
                      <w:lang w:val="uk-UA" w:eastAsia="ru-RU"/>
                    </w:rPr>
                  </w:pPr>
                  <w:r>
                    <w:rPr>
                      <w:rFonts w:eastAsia="Times New Roman"/>
                      <w:lang w:val="uk-UA" w:eastAsia="ru-RU"/>
                    </w:rPr>
                    <w:t>100</w:t>
                  </w:r>
                </w:p>
              </w:tc>
            </w:tr>
          </w:tbl>
          <w:p>
            <w:pPr>
              <w:spacing w:before="40" w:after="40"/>
              <w:ind w:left="360" w:hanging="360"/>
              <w:rPr>
                <w:b/>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84" w:hRule="atLeast"/>
        </w:trPr>
        <w:tc>
          <w:tcPr>
            <w:tcW w:w="5000" w:type="pct"/>
            <w:gridSpan w:val="11"/>
            <w:tcBorders>
              <w:top w:val="double" w:color="auto" w:sz="4" w:space="0"/>
              <w:left w:val="single" w:color="auto" w:sz="4" w:space="0"/>
              <w:bottom w:val="single" w:color="auto" w:sz="4" w:space="0"/>
              <w:right w:val="single" w:color="auto" w:sz="4" w:space="0"/>
            </w:tcBorders>
          </w:tcPr>
          <w:p>
            <w:pPr>
              <w:rPr>
                <w:b/>
                <w:lang w:val="uk-UA"/>
              </w:rPr>
            </w:pPr>
            <w:r>
              <w:rPr>
                <w:b/>
                <w:lang w:val="uk-UA"/>
              </w:rPr>
              <w:t>21) Умови допуску до підсумкового контролю:</w:t>
            </w:r>
          </w:p>
          <w:p>
            <w:pPr>
              <w:rPr>
                <w:lang w:val="uk-UA"/>
              </w:rPr>
            </w:pPr>
            <w:r>
              <w:rPr>
                <w:lang w:val="uk-UA"/>
              </w:rPr>
              <w:t>- відвідування лекцій;</w:t>
            </w:r>
          </w:p>
          <w:p>
            <w:pPr>
              <w:rPr>
                <w:lang w:val="uk-UA"/>
              </w:rPr>
            </w:pPr>
            <w:r>
              <w:rPr>
                <w:lang w:val="uk-UA"/>
              </w:rPr>
              <w:t>- активність на практичних заняттях;</w:t>
            </w:r>
          </w:p>
          <w:p>
            <w:pPr>
              <w:rPr>
                <w:lang w:val="uk-UA"/>
              </w:rPr>
            </w:pPr>
            <w:r>
              <w:rPr>
                <w:lang w:val="uk-UA"/>
              </w:rPr>
              <w:t>- дотримання термінів виконання РГР;</w:t>
            </w:r>
          </w:p>
          <w:p>
            <w:pPr>
              <w:rPr>
                <w:lang w:val="uk-UA"/>
              </w:rPr>
            </w:pPr>
            <w:r>
              <w:rPr>
                <w:lang w:val="uk-UA"/>
              </w:rPr>
              <w:t>- дотримання умов академічної доброчесності.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82" w:hRule="atLeast"/>
        </w:trPr>
        <w:tc>
          <w:tcPr>
            <w:tcW w:w="5000" w:type="pct"/>
            <w:gridSpan w:val="11"/>
            <w:tcBorders>
              <w:top w:val="single" w:color="auto" w:sz="4" w:space="0"/>
              <w:left w:val="single" w:color="auto" w:sz="4" w:space="0"/>
              <w:bottom w:val="single" w:color="auto" w:sz="4" w:space="0"/>
              <w:right w:val="single" w:color="auto" w:sz="4" w:space="0"/>
            </w:tcBorders>
          </w:tcPr>
          <w:p>
            <w:pPr>
              <w:rPr>
                <w:b/>
                <w:lang w:val="uk-UA"/>
              </w:rPr>
            </w:pPr>
            <w:r>
              <w:rPr>
                <w:b/>
                <w:lang w:val="uk-UA"/>
              </w:rPr>
              <w:t xml:space="preserve">22) Політика щодо академічної доброчесності: </w:t>
            </w:r>
            <w:r>
              <w:t>розуміння здобувачами вищої освіти етичного кодексу університету та норм академічної доброчесності (вимог щодо оригінальності текстів та допустимого відсотку співпадінь)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82" w:hRule="atLeast"/>
        </w:trPr>
        <w:tc>
          <w:tcPr>
            <w:tcW w:w="5000" w:type="pct"/>
            <w:gridSpan w:val="11"/>
            <w:tcBorders>
              <w:top w:val="single" w:color="auto" w:sz="4" w:space="0"/>
              <w:left w:val="single" w:color="auto" w:sz="4" w:space="0"/>
              <w:bottom w:val="single" w:color="auto" w:sz="4" w:space="0"/>
              <w:right w:val="single" w:color="auto" w:sz="4" w:space="0"/>
            </w:tcBorders>
          </w:tcPr>
          <w:p>
            <w:pPr>
              <w:rPr>
                <w:b/>
                <w:lang w:val="uk-UA"/>
              </w:rPr>
            </w:pPr>
            <w:r>
              <w:rPr>
                <w:b/>
                <w:lang w:val="uk-UA"/>
              </w:rPr>
              <w:t>23) Посилання на сторінку електронного навчально-методичного комплексу дисципліни:</w:t>
            </w:r>
          </w:p>
          <w:p>
            <w:pPr>
              <w:rPr>
                <w:lang w:val="uk-UA"/>
              </w:rPr>
            </w:pPr>
            <w:r>
              <w:fldChar w:fldCharType="begin"/>
            </w:r>
            <w:r>
              <w:instrText xml:space="preserve"> HYPERLINK "http://org2.knuba.edu.ua/course/view.php?id=903" </w:instrText>
            </w:r>
            <w:r>
              <w:fldChar w:fldCharType="separate"/>
            </w:r>
            <w:r>
              <w:rPr>
                <w:rStyle w:val="6"/>
                <w:lang w:val="uk-UA"/>
              </w:rPr>
              <w:t>http://org2.knuba.edu.ua/course/view.php?id=903</w:t>
            </w:r>
            <w:r>
              <w:rPr>
                <w:rStyle w:val="6"/>
                <w:lang w:val="uk-UA"/>
              </w:rPr>
              <w:fldChar w:fldCharType="end"/>
            </w:r>
          </w:p>
        </w:tc>
      </w:tr>
    </w:tbl>
    <w:p>
      <w:pPr>
        <w:rPr>
          <w:sz w:val="19"/>
          <w:szCs w:val="19"/>
        </w:rPr>
      </w:pPr>
    </w:p>
    <w:sectPr>
      <w:headerReference r:id="rId3" w:type="default"/>
      <w:footerReference r:id="rId4" w:type="default"/>
      <w:pgSz w:w="11906" w:h="16838"/>
      <w:pgMar w:top="1418" w:right="851" w:bottom="1418" w:left="1418" w:header="709" w:footer="567"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Verdana">
    <w:panose1 w:val="020B0604030504040204"/>
    <w:charset w:val="CC"/>
    <w:family w:val="swiss"/>
    <w:pitch w:val="default"/>
    <w:sig w:usb0="A10006FF" w:usb1="4000205B" w:usb2="00000010" w:usb3="00000000" w:csb0="2000019F" w:csb1="00000000"/>
  </w:font>
  <w:font w:name="Tahoma">
    <w:panose1 w:val="020B0604030504040204"/>
    <w:charset w:val="CC"/>
    <w:family w:val="swiss"/>
    <w:pitch w:val="default"/>
    <w:sig w:usb0="E1002EFF" w:usb1="C000605B" w:usb2="00000029" w:usb3="00000000" w:csb0="200101FF" w:csb1="20280000"/>
  </w:font>
  <w:font w:name="Courier New">
    <w:panose1 w:val="02070309020205020404"/>
    <w:charset w:val="CC"/>
    <w:family w:val="modern"/>
    <w:pitch w:val="default"/>
    <w:sig w:usb0="E0002AFF" w:usb1="C0007843" w:usb2="00000009" w:usb3="00000000" w:csb0="400001FF" w:csb1="FFFF0000"/>
  </w:font>
  <w:font w:name="Lucida Sans Unicode">
    <w:panose1 w:val="020B0602030504020204"/>
    <w:charset w:val="CC"/>
    <w:family w:val="swiss"/>
    <w:pitch w:val="default"/>
    <w:sig w:usb0="80001AFF" w:usb1="0000396B" w:usb2="00000000" w:usb3="00000000" w:csb0="200000BF" w:csb1="D7F70000"/>
  </w:font>
  <w:font w:name="Arial">
    <w:panose1 w:val="020B0604020202020204"/>
    <w:charset w:val="CC"/>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820"/>
        <w:tab w:val="right" w:pos="9639"/>
        <w:tab w:val="clear" w:pos="4536"/>
        <w:tab w:val="clear" w:pos="9072"/>
      </w:tabs>
      <w:rPr>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820"/>
      </w:tabs>
      <w:rPr>
        <w:sz w:val="18"/>
        <w:szCs w:val="18"/>
        <w:lang w:val="uk-UA"/>
      </w:rPr>
    </w:pPr>
    <w:r>
      <w:rPr>
        <w:lang w:val="ru-RU" w:eastAsia="ru-RU"/>
      </w:rPr>
      <mc:AlternateContent>
        <mc:Choice Requires="wpg">
          <w:drawing>
            <wp:anchor distT="0" distB="0" distL="114300" distR="114300" simplePos="0" relativeHeight="251659264" behindDoc="0" locked="0" layoutInCell="1" allowOverlap="1">
              <wp:simplePos x="0" y="0"/>
              <wp:positionH relativeFrom="column">
                <wp:posOffset>3735070</wp:posOffset>
              </wp:positionH>
              <wp:positionV relativeFrom="paragraph">
                <wp:posOffset>-31115</wp:posOffset>
              </wp:positionV>
              <wp:extent cx="2481580" cy="247650"/>
              <wp:effectExtent l="0" t="0" r="14605" b="19685"/>
              <wp:wrapNone/>
              <wp:docPr id="1" name="Group 1"/>
              <wp:cNvGraphicFramePr/>
              <a:graphic xmlns:a="http://schemas.openxmlformats.org/drawingml/2006/main">
                <a:graphicData uri="http://schemas.microsoft.com/office/word/2010/wordprocessingGroup">
                  <wpg:wgp>
                    <wpg:cNvGrpSpPr/>
                    <wpg:grpSpPr>
                      <a:xfrm>
                        <a:off x="0" y="0"/>
                        <a:ext cx="2481559" cy="247491"/>
                        <a:chOff x="4026" y="-63"/>
                        <a:chExt cx="3487" cy="345"/>
                      </a:xfrm>
                    </wpg:grpSpPr>
                    <wps:wsp>
                      <wps:cNvPr id="2" name="Rectangle 2"/>
                      <wps:cNvSpPr>
                        <a:spLocks noChangeArrowheads="1"/>
                      </wps:cNvSpPr>
                      <wps:spPr bwMode="auto">
                        <a:xfrm>
                          <a:off x="4026" y="-63"/>
                          <a:ext cx="1020" cy="345"/>
                        </a:xfrm>
                        <a:prstGeom prst="rect">
                          <a:avLst/>
                        </a:prstGeom>
                        <a:solidFill>
                          <a:srgbClr val="FFFFFF"/>
                        </a:solidFill>
                        <a:ln w="9525">
                          <a:solidFill>
                            <a:srgbClr val="000000"/>
                          </a:solidFill>
                          <a:miter lim="800000"/>
                        </a:ln>
                      </wps:spPr>
                      <wps:txbx>
                        <w:txbxContent>
                          <w:p>
                            <w:pPr>
                              <w:jc w:val="center"/>
                              <w:rPr>
                                <w:rFonts w:ascii="Tahoma" w:hAnsi="Tahoma" w:cs="Tahoma"/>
                                <w:sz w:val="14"/>
                                <w:lang w:val="uk-UA"/>
                              </w:rPr>
                            </w:pPr>
                            <w:r>
                              <w:rPr>
                                <w:rFonts w:ascii="Tahoma" w:hAnsi="Tahoma" w:cs="Tahoma"/>
                                <w:sz w:val="14"/>
                                <w:lang w:val="uk-UA"/>
                              </w:rPr>
                              <w:t>015.39</w:t>
                            </w:r>
                          </w:p>
                        </w:txbxContent>
                      </wps:txbx>
                      <wps:bodyPr rot="0" vert="horz" wrap="square" lIns="91440" tIns="45720" rIns="91440" bIns="45720" anchor="t" anchorCtr="0" upright="1">
                        <a:noAutofit/>
                      </wps:bodyPr>
                    </wps:wsp>
                    <wps:wsp>
                      <wps:cNvPr id="3" name="Rectangle 3"/>
                      <wps:cNvSpPr>
                        <a:spLocks noChangeArrowheads="1"/>
                      </wps:cNvSpPr>
                      <wps:spPr bwMode="auto">
                        <a:xfrm>
                          <a:off x="5046" y="-63"/>
                          <a:ext cx="1191" cy="345"/>
                        </a:xfrm>
                        <a:prstGeom prst="rect">
                          <a:avLst/>
                        </a:prstGeom>
                        <a:solidFill>
                          <a:srgbClr val="FFFFFF"/>
                        </a:solidFill>
                        <a:ln w="9525">
                          <a:solidFill>
                            <a:srgbClr val="000000"/>
                          </a:solidFill>
                          <a:miter lim="800000"/>
                        </a:ln>
                      </wps:spPr>
                      <wps:txbx>
                        <w:txbxContent>
                          <w:p>
                            <w:pPr>
                              <w:jc w:val="center"/>
                              <w:rPr>
                                <w:rFonts w:ascii="Tahoma" w:hAnsi="Tahoma" w:cs="Tahoma"/>
                                <w:sz w:val="14"/>
                                <w:szCs w:val="16"/>
                                <w:lang w:val="uk-UA"/>
                              </w:rPr>
                            </w:pPr>
                            <w:r>
                              <w:rPr>
                                <w:rFonts w:ascii="Tahoma" w:hAnsi="Tahoma" w:cs="Tahoma"/>
                                <w:sz w:val="14"/>
                                <w:szCs w:val="16"/>
                                <w:lang w:val="uk-UA"/>
                              </w:rPr>
                              <w:t>ПНМ</w:t>
                            </w:r>
                          </w:p>
                        </w:txbxContent>
                      </wps:txbx>
                      <wps:bodyPr rot="0" vert="horz" wrap="square" lIns="91440" tIns="45720" rIns="91440" bIns="45720" anchor="t" anchorCtr="0" upright="1">
                        <a:noAutofit/>
                      </wps:bodyPr>
                    </wps:wsp>
                    <wps:wsp>
                      <wps:cNvPr id="4" name="Rectangle 4"/>
                      <wps:cNvSpPr>
                        <a:spLocks noChangeArrowheads="1"/>
                      </wps:cNvSpPr>
                      <wps:spPr bwMode="auto">
                        <a:xfrm>
                          <a:off x="6237" y="-63"/>
                          <a:ext cx="1276" cy="345"/>
                        </a:xfrm>
                        <a:prstGeom prst="rect">
                          <a:avLst/>
                        </a:prstGeom>
                        <a:solidFill>
                          <a:srgbClr val="FFFFFF"/>
                        </a:solidFill>
                        <a:ln w="9525">
                          <a:solidFill>
                            <a:srgbClr val="000000"/>
                          </a:solidFill>
                          <a:miter lim="800000"/>
                        </a:ln>
                      </wps:spPr>
                      <wps:txbx>
                        <w:txbxContent>
                          <w:p>
                            <w:pPr>
                              <w:pStyle w:val="13"/>
                              <w:jc w:val="center"/>
                              <w:rPr>
                                <w:rFonts w:ascii="Tahoma" w:hAnsi="Tahoma" w:cs="Tahoma"/>
                                <w:sz w:val="14"/>
                                <w:szCs w:val="16"/>
                              </w:rPr>
                            </w:pPr>
                            <w:r>
                              <w:rPr>
                                <w:rFonts w:ascii="Tahoma" w:hAnsi="Tahoma" w:cs="Tahoma"/>
                                <w:sz w:val="14"/>
                                <w:szCs w:val="16"/>
                              </w:rPr>
                              <w:t>Сторінка 1 з 6</w:t>
                            </w:r>
                          </w:p>
                        </w:txbxContent>
                      </wps:txbx>
                      <wps:bodyPr rot="0" vert="horz" wrap="square" lIns="91440" tIns="45720" rIns="91440" bIns="45720" anchor="t" anchorCtr="0" upright="1">
                        <a:noAutofit/>
                      </wps:bodyPr>
                    </wps:wsp>
                  </wpg:wgp>
                </a:graphicData>
              </a:graphic>
            </wp:anchor>
          </w:drawing>
        </mc:Choice>
        <mc:Fallback>
          <w:pict>
            <v:group id="Group 1" o:spid="_x0000_s1026" o:spt="203" style="position:absolute;left:0pt;margin-left:294.1pt;margin-top:-2.45pt;height:19.5pt;width:195.4pt;z-index:251659264;mso-width-relative:page;mso-height-relative:page;" coordorigin="4026,-63" coordsize="3487,345" o:gfxdata="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">
              <o:lock v:ext="edit" aspectratio="f"/>
              <v:rect id="Rectangle 2" o:spid="_x0000_s1026" o:spt="1" style="position:absolute;left:4026;top:-63;height:345;width:1020;"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rFonts w:ascii="Tahoma" w:hAnsi="Tahoma" w:cs="Tahoma"/>
                          <w:sz w:val="14"/>
                          <w:lang w:val="uk-UA"/>
                        </w:rPr>
                      </w:pPr>
                      <w:r>
                        <w:rPr>
                          <w:rFonts w:ascii="Tahoma" w:hAnsi="Tahoma" w:cs="Tahoma"/>
                          <w:sz w:val="14"/>
                          <w:lang w:val="uk-UA"/>
                        </w:rPr>
                        <w:t>015.39</w:t>
                      </w:r>
                    </w:p>
                  </w:txbxContent>
                </v:textbox>
              </v:rect>
              <v:rect id="Rectangle 3" o:spid="_x0000_s1026" o:spt="1" style="position:absolute;left:5046;top:-63;height:345;width:1191;"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jc w:val="center"/>
                        <w:rPr>
                          <w:rFonts w:ascii="Tahoma" w:hAnsi="Tahoma" w:cs="Tahoma"/>
                          <w:sz w:val="14"/>
                          <w:szCs w:val="16"/>
                          <w:lang w:val="uk-UA"/>
                        </w:rPr>
                      </w:pPr>
                      <w:r>
                        <w:rPr>
                          <w:rFonts w:ascii="Tahoma" w:hAnsi="Tahoma" w:cs="Tahoma"/>
                          <w:sz w:val="14"/>
                          <w:szCs w:val="16"/>
                          <w:lang w:val="uk-UA"/>
                        </w:rPr>
                        <w:t>ПНМ</w:t>
                      </w:r>
                    </w:p>
                  </w:txbxContent>
                </v:textbox>
              </v:rect>
              <v:rect id="Rectangle 4" o:spid="_x0000_s1026" o:spt="1" style="position:absolute;left:6237;top:-63;height:345;width:1276;"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pStyle w:val="13"/>
                        <w:jc w:val="center"/>
                        <w:rPr>
                          <w:rFonts w:ascii="Tahoma" w:hAnsi="Tahoma" w:cs="Tahoma"/>
                          <w:sz w:val="14"/>
                          <w:szCs w:val="16"/>
                        </w:rPr>
                      </w:pPr>
                      <w:r>
                        <w:rPr>
                          <w:rFonts w:ascii="Tahoma" w:hAnsi="Tahoma" w:cs="Tahoma"/>
                          <w:sz w:val="14"/>
                          <w:szCs w:val="16"/>
                        </w:rPr>
                        <w:t>Сторінка 1 з 6</w:t>
                      </w:r>
                    </w:p>
                  </w:txbxContent>
                </v:textbox>
              </v:rect>
            </v:group>
          </w:pict>
        </mc:Fallback>
      </mc:AlternateContent>
    </w:r>
    <w:r>
      <w:rPr>
        <w:sz w:val="18"/>
        <w:szCs w:val="18"/>
        <w:lang w:val="uk-UA"/>
      </w:rPr>
      <w:t>Київський національний університет</w:t>
    </w:r>
  </w:p>
  <w:p>
    <w:pPr>
      <w:tabs>
        <w:tab w:val="center" w:pos="4820"/>
      </w:tabs>
      <w:rPr>
        <w:sz w:val="18"/>
        <w:szCs w:val="18"/>
        <w:lang w:val="uk-UA"/>
      </w:rPr>
    </w:pPr>
    <w:r>
      <w:rPr>
        <w:sz w:val="18"/>
        <w:szCs w:val="18"/>
        <w:lang w:val="uk-UA"/>
      </w:rPr>
      <w:t>будівництва і архітектури</w:t>
    </w:r>
  </w:p>
  <w:p>
    <w:pPr>
      <w:tabs>
        <w:tab w:val="center" w:pos="4820"/>
      </w:tabs>
      <w:rPr>
        <w:b/>
        <w:sz w:val="18"/>
        <w:szCs w:val="18"/>
      </w:rPr>
    </w:pPr>
    <w:r>
      <w:rPr>
        <w:sz w:val="18"/>
        <w:szCs w:val="18"/>
        <w:lang w:val="uk-UA"/>
      </w:rPr>
      <w:t>Кафедра інформаційних технологій проектування та прикладної математики</w:t>
    </w:r>
    <w:r>
      <w:rPr>
        <w:b/>
        <w:sz w:val="18"/>
        <w:szCs w:val="18"/>
      </w:rPr>
      <w:tab/>
    </w:r>
  </w:p>
  <w:p>
    <w:pPr>
      <w:pStyle w:val="13"/>
      <w:tabs>
        <w:tab w:val="center" w:pos="4820"/>
        <w:tab w:val="right" w:pos="9639"/>
        <w:tab w:val="clear" w:pos="4536"/>
        <w:tab w:val="clear" w:pos="9072"/>
      </w:tabs>
      <w:rPr>
        <w:sz w:val="16"/>
        <w:szCs w:val="16"/>
        <w:lang w:val="ru-RU"/>
      </w:rPr>
    </w:pPr>
  </w:p>
  <w:p>
    <w:pPr>
      <w:pStyle w:val="13"/>
      <w:tabs>
        <w:tab w:val="center" w:pos="4820"/>
        <w:tab w:val="right" w:pos="9639"/>
        <w:tab w:val="clear" w:pos="4536"/>
        <w:tab w:val="clear" w:pos="9072"/>
      </w:tabs>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7"/>
      <w:lvlText w:val="%1."/>
      <w:lvlJc w:val="left"/>
      <w:pPr>
        <w:tabs>
          <w:tab w:val="left" w:pos="360"/>
        </w:tabs>
        <w:ind w:left="360" w:hanging="360"/>
      </w:pPr>
    </w:lvl>
  </w:abstractNum>
  <w:abstractNum w:abstractNumId="1">
    <w:nsid w:val="61930F12"/>
    <w:multiLevelType w:val="multilevel"/>
    <w:tmpl w:val="61930F1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7A2527C6"/>
    <w:multiLevelType w:val="multilevel"/>
    <w:tmpl w:val="7A2527C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9"/>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BEA"/>
    <w:rsid w:val="00001795"/>
    <w:rsid w:val="00003B9F"/>
    <w:rsid w:val="000064FD"/>
    <w:rsid w:val="00006E3D"/>
    <w:rsid w:val="00015B96"/>
    <w:rsid w:val="0002298E"/>
    <w:rsid w:val="00025345"/>
    <w:rsid w:val="000321F9"/>
    <w:rsid w:val="000370BC"/>
    <w:rsid w:val="000660D2"/>
    <w:rsid w:val="00070465"/>
    <w:rsid w:val="00090487"/>
    <w:rsid w:val="000A39E3"/>
    <w:rsid w:val="000A634E"/>
    <w:rsid w:val="000A6B8D"/>
    <w:rsid w:val="000C6AC3"/>
    <w:rsid w:val="00103B0E"/>
    <w:rsid w:val="001115D2"/>
    <w:rsid w:val="001242BE"/>
    <w:rsid w:val="00126F9B"/>
    <w:rsid w:val="00127280"/>
    <w:rsid w:val="00131BAE"/>
    <w:rsid w:val="00133BA9"/>
    <w:rsid w:val="00143A5C"/>
    <w:rsid w:val="00150A11"/>
    <w:rsid w:val="00154509"/>
    <w:rsid w:val="0015483A"/>
    <w:rsid w:val="0016051A"/>
    <w:rsid w:val="00164D47"/>
    <w:rsid w:val="00167D29"/>
    <w:rsid w:val="00170EB1"/>
    <w:rsid w:val="00192FAA"/>
    <w:rsid w:val="00194565"/>
    <w:rsid w:val="001A623F"/>
    <w:rsid w:val="001A7F9F"/>
    <w:rsid w:val="001B3355"/>
    <w:rsid w:val="001D0D08"/>
    <w:rsid w:val="001D6DD9"/>
    <w:rsid w:val="001E7CC9"/>
    <w:rsid w:val="0020326B"/>
    <w:rsid w:val="00203713"/>
    <w:rsid w:val="0020394D"/>
    <w:rsid w:val="0020592F"/>
    <w:rsid w:val="002067FD"/>
    <w:rsid w:val="00210395"/>
    <w:rsid w:val="00214243"/>
    <w:rsid w:val="00215115"/>
    <w:rsid w:val="00233F4F"/>
    <w:rsid w:val="0024096E"/>
    <w:rsid w:val="00240C3B"/>
    <w:rsid w:val="00257F42"/>
    <w:rsid w:val="00261373"/>
    <w:rsid w:val="0026403A"/>
    <w:rsid w:val="00273F4F"/>
    <w:rsid w:val="00292DD9"/>
    <w:rsid w:val="002A0C70"/>
    <w:rsid w:val="002A106E"/>
    <w:rsid w:val="002A19A1"/>
    <w:rsid w:val="002A2A63"/>
    <w:rsid w:val="002A6AF1"/>
    <w:rsid w:val="002B1D99"/>
    <w:rsid w:val="002B379C"/>
    <w:rsid w:val="002B5BD1"/>
    <w:rsid w:val="002C086F"/>
    <w:rsid w:val="002D0E84"/>
    <w:rsid w:val="002E2F3A"/>
    <w:rsid w:val="002E49AE"/>
    <w:rsid w:val="002F0BC7"/>
    <w:rsid w:val="002F2387"/>
    <w:rsid w:val="002F438E"/>
    <w:rsid w:val="002F4A3B"/>
    <w:rsid w:val="002F6207"/>
    <w:rsid w:val="003052DF"/>
    <w:rsid w:val="003066A1"/>
    <w:rsid w:val="00310684"/>
    <w:rsid w:val="00321698"/>
    <w:rsid w:val="00321F9C"/>
    <w:rsid w:val="00322000"/>
    <w:rsid w:val="003261EA"/>
    <w:rsid w:val="00326344"/>
    <w:rsid w:val="003302D8"/>
    <w:rsid w:val="00330D4B"/>
    <w:rsid w:val="003425D4"/>
    <w:rsid w:val="00344D41"/>
    <w:rsid w:val="0034748F"/>
    <w:rsid w:val="00363E44"/>
    <w:rsid w:val="00364865"/>
    <w:rsid w:val="0036551E"/>
    <w:rsid w:val="00366DF1"/>
    <w:rsid w:val="00370BF5"/>
    <w:rsid w:val="0037199E"/>
    <w:rsid w:val="00371CCC"/>
    <w:rsid w:val="00386F9F"/>
    <w:rsid w:val="00391ED0"/>
    <w:rsid w:val="003956B6"/>
    <w:rsid w:val="0039576E"/>
    <w:rsid w:val="003C4AD7"/>
    <w:rsid w:val="003C557A"/>
    <w:rsid w:val="003D16CA"/>
    <w:rsid w:val="003D3584"/>
    <w:rsid w:val="003D7890"/>
    <w:rsid w:val="003E7F21"/>
    <w:rsid w:val="00400C13"/>
    <w:rsid w:val="00403404"/>
    <w:rsid w:val="00403C27"/>
    <w:rsid w:val="00405115"/>
    <w:rsid w:val="00414A12"/>
    <w:rsid w:val="0041698E"/>
    <w:rsid w:val="004222D3"/>
    <w:rsid w:val="0042653B"/>
    <w:rsid w:val="0043358E"/>
    <w:rsid w:val="00442D0F"/>
    <w:rsid w:val="004455B2"/>
    <w:rsid w:val="00454BAC"/>
    <w:rsid w:val="00455302"/>
    <w:rsid w:val="0046150A"/>
    <w:rsid w:val="00461601"/>
    <w:rsid w:val="00461985"/>
    <w:rsid w:val="00462910"/>
    <w:rsid w:val="004656FE"/>
    <w:rsid w:val="00466CE4"/>
    <w:rsid w:val="00472A45"/>
    <w:rsid w:val="00474E2C"/>
    <w:rsid w:val="00480D5B"/>
    <w:rsid w:val="004847F0"/>
    <w:rsid w:val="00487861"/>
    <w:rsid w:val="004914F8"/>
    <w:rsid w:val="0049662F"/>
    <w:rsid w:val="00497E3F"/>
    <w:rsid w:val="004A7787"/>
    <w:rsid w:val="004B7D78"/>
    <w:rsid w:val="004C7070"/>
    <w:rsid w:val="004E4C21"/>
    <w:rsid w:val="004F1AAA"/>
    <w:rsid w:val="004F54C4"/>
    <w:rsid w:val="004F6236"/>
    <w:rsid w:val="00500B80"/>
    <w:rsid w:val="00506842"/>
    <w:rsid w:val="005152A6"/>
    <w:rsid w:val="00550FE5"/>
    <w:rsid w:val="00552F25"/>
    <w:rsid w:val="00570E33"/>
    <w:rsid w:val="00574A8C"/>
    <w:rsid w:val="00574AE6"/>
    <w:rsid w:val="0057721E"/>
    <w:rsid w:val="005901A1"/>
    <w:rsid w:val="005A137B"/>
    <w:rsid w:val="005A1E39"/>
    <w:rsid w:val="005A5F1D"/>
    <w:rsid w:val="005C035A"/>
    <w:rsid w:val="005C4D59"/>
    <w:rsid w:val="005D265C"/>
    <w:rsid w:val="005D5ED8"/>
    <w:rsid w:val="005E4994"/>
    <w:rsid w:val="006034C1"/>
    <w:rsid w:val="00613773"/>
    <w:rsid w:val="006251FD"/>
    <w:rsid w:val="00631285"/>
    <w:rsid w:val="0064383D"/>
    <w:rsid w:val="00650762"/>
    <w:rsid w:val="006513B2"/>
    <w:rsid w:val="00667EE6"/>
    <w:rsid w:val="00682F92"/>
    <w:rsid w:val="00697750"/>
    <w:rsid w:val="0069780F"/>
    <w:rsid w:val="006B4D43"/>
    <w:rsid w:val="006B7006"/>
    <w:rsid w:val="006C210A"/>
    <w:rsid w:val="006E5E67"/>
    <w:rsid w:val="00700799"/>
    <w:rsid w:val="00712D9B"/>
    <w:rsid w:val="00714E31"/>
    <w:rsid w:val="007220EE"/>
    <w:rsid w:val="0073046B"/>
    <w:rsid w:val="00730DDD"/>
    <w:rsid w:val="00736B66"/>
    <w:rsid w:val="0074064C"/>
    <w:rsid w:val="007421DD"/>
    <w:rsid w:val="00750A92"/>
    <w:rsid w:val="00761C21"/>
    <w:rsid w:val="00766392"/>
    <w:rsid w:val="00767A0E"/>
    <w:rsid w:val="00773036"/>
    <w:rsid w:val="00776044"/>
    <w:rsid w:val="0078552B"/>
    <w:rsid w:val="007B73AB"/>
    <w:rsid w:val="007C2858"/>
    <w:rsid w:val="007D0FB5"/>
    <w:rsid w:val="007E1E67"/>
    <w:rsid w:val="007E50E5"/>
    <w:rsid w:val="007F0912"/>
    <w:rsid w:val="00800C47"/>
    <w:rsid w:val="00811C3E"/>
    <w:rsid w:val="00811D7D"/>
    <w:rsid w:val="0081505D"/>
    <w:rsid w:val="00826E7F"/>
    <w:rsid w:val="0083391A"/>
    <w:rsid w:val="00844546"/>
    <w:rsid w:val="00864F72"/>
    <w:rsid w:val="00891F16"/>
    <w:rsid w:val="0089300C"/>
    <w:rsid w:val="00893052"/>
    <w:rsid w:val="00893452"/>
    <w:rsid w:val="00895A96"/>
    <w:rsid w:val="008B0306"/>
    <w:rsid w:val="008B0E56"/>
    <w:rsid w:val="008B272B"/>
    <w:rsid w:val="008B33C5"/>
    <w:rsid w:val="008B4B70"/>
    <w:rsid w:val="008C7A4C"/>
    <w:rsid w:val="008D3CAB"/>
    <w:rsid w:val="008E47C8"/>
    <w:rsid w:val="008E5366"/>
    <w:rsid w:val="008E63AB"/>
    <w:rsid w:val="008F4A5E"/>
    <w:rsid w:val="00915957"/>
    <w:rsid w:val="0091620E"/>
    <w:rsid w:val="00921402"/>
    <w:rsid w:val="00923884"/>
    <w:rsid w:val="00924006"/>
    <w:rsid w:val="00930370"/>
    <w:rsid w:val="00932F3A"/>
    <w:rsid w:val="00941CDD"/>
    <w:rsid w:val="0094594C"/>
    <w:rsid w:val="00945D28"/>
    <w:rsid w:val="00950D2B"/>
    <w:rsid w:val="00951B73"/>
    <w:rsid w:val="0095236D"/>
    <w:rsid w:val="00956F42"/>
    <w:rsid w:val="0096572E"/>
    <w:rsid w:val="00971250"/>
    <w:rsid w:val="009753FA"/>
    <w:rsid w:val="0099018C"/>
    <w:rsid w:val="009A01BA"/>
    <w:rsid w:val="009A1613"/>
    <w:rsid w:val="009A41BB"/>
    <w:rsid w:val="009C05B1"/>
    <w:rsid w:val="009C09B8"/>
    <w:rsid w:val="009C582D"/>
    <w:rsid w:val="009D298C"/>
    <w:rsid w:val="009E51B6"/>
    <w:rsid w:val="009E75AA"/>
    <w:rsid w:val="009F1051"/>
    <w:rsid w:val="009F52B1"/>
    <w:rsid w:val="00A0107F"/>
    <w:rsid w:val="00A04121"/>
    <w:rsid w:val="00A04E43"/>
    <w:rsid w:val="00A17A7D"/>
    <w:rsid w:val="00A239AC"/>
    <w:rsid w:val="00A244CC"/>
    <w:rsid w:val="00A2662F"/>
    <w:rsid w:val="00A34CCE"/>
    <w:rsid w:val="00A3599A"/>
    <w:rsid w:val="00A400A4"/>
    <w:rsid w:val="00A56714"/>
    <w:rsid w:val="00A635FB"/>
    <w:rsid w:val="00A7581F"/>
    <w:rsid w:val="00A824C1"/>
    <w:rsid w:val="00A86887"/>
    <w:rsid w:val="00A95476"/>
    <w:rsid w:val="00A96788"/>
    <w:rsid w:val="00AA17AE"/>
    <w:rsid w:val="00AA649A"/>
    <w:rsid w:val="00AB5608"/>
    <w:rsid w:val="00AD3DB0"/>
    <w:rsid w:val="00AE7DE2"/>
    <w:rsid w:val="00AF33D4"/>
    <w:rsid w:val="00AF4F88"/>
    <w:rsid w:val="00B020F8"/>
    <w:rsid w:val="00B04D21"/>
    <w:rsid w:val="00B13474"/>
    <w:rsid w:val="00B15F72"/>
    <w:rsid w:val="00B27CE1"/>
    <w:rsid w:val="00B34F27"/>
    <w:rsid w:val="00B453FC"/>
    <w:rsid w:val="00B67B3E"/>
    <w:rsid w:val="00B7313A"/>
    <w:rsid w:val="00B745DB"/>
    <w:rsid w:val="00B74C06"/>
    <w:rsid w:val="00B76E7E"/>
    <w:rsid w:val="00B83C41"/>
    <w:rsid w:val="00B86848"/>
    <w:rsid w:val="00B90A25"/>
    <w:rsid w:val="00BA4013"/>
    <w:rsid w:val="00BA74FD"/>
    <w:rsid w:val="00BB2ECF"/>
    <w:rsid w:val="00BB72AA"/>
    <w:rsid w:val="00BD1C02"/>
    <w:rsid w:val="00BF1064"/>
    <w:rsid w:val="00BF3438"/>
    <w:rsid w:val="00BF4DDC"/>
    <w:rsid w:val="00BF7380"/>
    <w:rsid w:val="00C0098D"/>
    <w:rsid w:val="00C117D1"/>
    <w:rsid w:val="00C148BA"/>
    <w:rsid w:val="00C26411"/>
    <w:rsid w:val="00C2722D"/>
    <w:rsid w:val="00C34539"/>
    <w:rsid w:val="00C42CA0"/>
    <w:rsid w:val="00C554BA"/>
    <w:rsid w:val="00C60EBD"/>
    <w:rsid w:val="00C635B8"/>
    <w:rsid w:val="00C63A24"/>
    <w:rsid w:val="00C66DCA"/>
    <w:rsid w:val="00C67B35"/>
    <w:rsid w:val="00C746BA"/>
    <w:rsid w:val="00C75240"/>
    <w:rsid w:val="00C91F96"/>
    <w:rsid w:val="00C94BEA"/>
    <w:rsid w:val="00C95BC5"/>
    <w:rsid w:val="00C961C4"/>
    <w:rsid w:val="00CA44B9"/>
    <w:rsid w:val="00CA5408"/>
    <w:rsid w:val="00CA5924"/>
    <w:rsid w:val="00CA66A8"/>
    <w:rsid w:val="00CA7568"/>
    <w:rsid w:val="00CB0DB9"/>
    <w:rsid w:val="00CC039D"/>
    <w:rsid w:val="00CC2019"/>
    <w:rsid w:val="00CD2799"/>
    <w:rsid w:val="00CE220D"/>
    <w:rsid w:val="00CF2B72"/>
    <w:rsid w:val="00CF7A71"/>
    <w:rsid w:val="00D00340"/>
    <w:rsid w:val="00D116C7"/>
    <w:rsid w:val="00D153C5"/>
    <w:rsid w:val="00D17880"/>
    <w:rsid w:val="00D20325"/>
    <w:rsid w:val="00D22E82"/>
    <w:rsid w:val="00D26FA8"/>
    <w:rsid w:val="00D33D22"/>
    <w:rsid w:val="00D35AD4"/>
    <w:rsid w:val="00D4467E"/>
    <w:rsid w:val="00D51EF6"/>
    <w:rsid w:val="00D576F6"/>
    <w:rsid w:val="00D6495A"/>
    <w:rsid w:val="00D658D2"/>
    <w:rsid w:val="00D72345"/>
    <w:rsid w:val="00D726D4"/>
    <w:rsid w:val="00D73307"/>
    <w:rsid w:val="00D80CDF"/>
    <w:rsid w:val="00D81B40"/>
    <w:rsid w:val="00D85658"/>
    <w:rsid w:val="00D93151"/>
    <w:rsid w:val="00D934EE"/>
    <w:rsid w:val="00D95AE3"/>
    <w:rsid w:val="00D95D6E"/>
    <w:rsid w:val="00DB78EF"/>
    <w:rsid w:val="00DC0BAC"/>
    <w:rsid w:val="00DC178E"/>
    <w:rsid w:val="00DC770C"/>
    <w:rsid w:val="00DE2D11"/>
    <w:rsid w:val="00E0130D"/>
    <w:rsid w:val="00E0403C"/>
    <w:rsid w:val="00E13B37"/>
    <w:rsid w:val="00E14FA0"/>
    <w:rsid w:val="00E26136"/>
    <w:rsid w:val="00E308E6"/>
    <w:rsid w:val="00E33694"/>
    <w:rsid w:val="00E353C3"/>
    <w:rsid w:val="00E41F6B"/>
    <w:rsid w:val="00E62CBE"/>
    <w:rsid w:val="00E63BE4"/>
    <w:rsid w:val="00E651B4"/>
    <w:rsid w:val="00E72FA3"/>
    <w:rsid w:val="00E95E8F"/>
    <w:rsid w:val="00EA7098"/>
    <w:rsid w:val="00EA7816"/>
    <w:rsid w:val="00EB3E09"/>
    <w:rsid w:val="00EC1539"/>
    <w:rsid w:val="00EC70A5"/>
    <w:rsid w:val="00ED369A"/>
    <w:rsid w:val="00EF4C39"/>
    <w:rsid w:val="00EF781D"/>
    <w:rsid w:val="00EF7D0E"/>
    <w:rsid w:val="00F00FD8"/>
    <w:rsid w:val="00F0431E"/>
    <w:rsid w:val="00F1019F"/>
    <w:rsid w:val="00F151B9"/>
    <w:rsid w:val="00F279BA"/>
    <w:rsid w:val="00F31E5F"/>
    <w:rsid w:val="00F3682B"/>
    <w:rsid w:val="00F37EEC"/>
    <w:rsid w:val="00F40595"/>
    <w:rsid w:val="00F436D0"/>
    <w:rsid w:val="00F667BB"/>
    <w:rsid w:val="00F67867"/>
    <w:rsid w:val="00F81C7C"/>
    <w:rsid w:val="00F930E2"/>
    <w:rsid w:val="00F9327F"/>
    <w:rsid w:val="00FA0721"/>
    <w:rsid w:val="00FB65EA"/>
    <w:rsid w:val="00FB6B26"/>
    <w:rsid w:val="00FB7878"/>
    <w:rsid w:val="00FC60FB"/>
    <w:rsid w:val="00FD0035"/>
    <w:rsid w:val="00FD4882"/>
    <w:rsid w:val="00FD4D7D"/>
    <w:rsid w:val="00FD5E6E"/>
    <w:rsid w:val="00FD74A3"/>
    <w:rsid w:val="00FE3353"/>
    <w:rsid w:val="00FE3A8C"/>
    <w:rsid w:val="00FE50FF"/>
    <w:rsid w:val="63606581"/>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name="footnote text"/>
    <w:lsdException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iPriority="99"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34" w:semiHidden="0" w:name="List Paragraph"/>
    <w:lsdException w:qFormat="1" w:unhideWhenUsed="0" w:uiPriority="29" w:semiHidden="0" w:name="Quote"/>
  </w:latentStyles>
  <w:style w:type="paragraph" w:default="1" w:styleId="1">
    <w:name w:val="Normal"/>
    <w:qFormat/>
    <w:uiPriority w:val="0"/>
    <w:rPr>
      <w:rFonts w:ascii="Times New Roman" w:hAnsi="Times New Roman" w:eastAsia="Calibri" w:cs="Times New Roman"/>
      <w:lang w:val="pl-PL" w:eastAsia="pl-PL"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footnote reference"/>
    <w:semiHidden/>
    <w:uiPriority w:val="0"/>
    <w:rPr>
      <w:vertAlign w:val="superscript"/>
    </w:rPr>
  </w:style>
  <w:style w:type="character" w:styleId="5">
    <w:name w:val="annotation reference"/>
    <w:semiHidden/>
    <w:uiPriority w:val="0"/>
    <w:rPr>
      <w:sz w:val="16"/>
    </w:rPr>
  </w:style>
  <w:style w:type="character" w:styleId="6">
    <w:name w:val="Hyperlink"/>
    <w:basedOn w:val="2"/>
    <w:qFormat/>
    <w:uiPriority w:val="0"/>
    <w:rPr>
      <w:color w:val="0563C1" w:themeColor="hyperlink"/>
      <w:u w:val="single"/>
      <w14:textFill>
        <w14:solidFill>
          <w14:schemeClr w14:val="hlink"/>
        </w14:solidFill>
      </w14:textFill>
    </w:rPr>
  </w:style>
  <w:style w:type="character" w:styleId="7">
    <w:name w:val="page number"/>
    <w:uiPriority w:val="0"/>
    <w:rPr>
      <w:rFonts w:cs="Times New Roman"/>
    </w:rPr>
  </w:style>
  <w:style w:type="character" w:styleId="8">
    <w:name w:val="Strong"/>
    <w:qFormat/>
    <w:locked/>
    <w:uiPriority w:val="22"/>
    <w:rPr>
      <w:b/>
      <w:bCs/>
    </w:rPr>
  </w:style>
  <w:style w:type="paragraph" w:styleId="9">
    <w:name w:val="Balloon Text"/>
    <w:basedOn w:val="1"/>
    <w:link w:val="24"/>
    <w:semiHidden/>
    <w:qFormat/>
    <w:uiPriority w:val="0"/>
    <w:rPr>
      <w:rFonts w:ascii="Tahoma" w:hAnsi="Tahoma"/>
      <w:sz w:val="16"/>
      <w:lang w:val="zh-CN" w:eastAsia="zh-CN"/>
    </w:rPr>
  </w:style>
  <w:style w:type="paragraph" w:styleId="10">
    <w:name w:val="annotation text"/>
    <w:basedOn w:val="1"/>
    <w:link w:val="26"/>
    <w:semiHidden/>
    <w:uiPriority w:val="0"/>
    <w:rPr>
      <w:lang w:val="zh-CN" w:eastAsia="zh-CN"/>
    </w:rPr>
  </w:style>
  <w:style w:type="paragraph" w:styleId="11">
    <w:name w:val="annotation subject"/>
    <w:basedOn w:val="10"/>
    <w:next w:val="10"/>
    <w:link w:val="27"/>
    <w:semiHidden/>
    <w:qFormat/>
    <w:uiPriority w:val="0"/>
    <w:rPr>
      <w:b/>
    </w:rPr>
  </w:style>
  <w:style w:type="paragraph" w:styleId="12">
    <w:name w:val="footnote text"/>
    <w:basedOn w:val="1"/>
    <w:link w:val="23"/>
    <w:semiHidden/>
    <w:uiPriority w:val="0"/>
    <w:pPr>
      <w:jc w:val="both"/>
    </w:pPr>
    <w:rPr>
      <w:lang w:val="zh-CN"/>
    </w:rPr>
  </w:style>
  <w:style w:type="paragraph" w:styleId="13">
    <w:name w:val="header"/>
    <w:basedOn w:val="1"/>
    <w:link w:val="25"/>
    <w:qFormat/>
    <w:uiPriority w:val="0"/>
    <w:pPr>
      <w:tabs>
        <w:tab w:val="center" w:pos="4536"/>
        <w:tab w:val="right" w:pos="9072"/>
      </w:tabs>
    </w:pPr>
    <w:rPr>
      <w:lang w:val="zh-CN" w:eastAsia="zh-CN"/>
    </w:rPr>
  </w:style>
  <w:style w:type="paragraph" w:styleId="14">
    <w:name w:val="Body Text"/>
    <w:basedOn w:val="1"/>
    <w:link w:val="32"/>
    <w:uiPriority w:val="0"/>
    <w:pPr>
      <w:spacing w:after="120"/>
    </w:pPr>
  </w:style>
  <w:style w:type="paragraph" w:styleId="15">
    <w:name w:val="Body Text Indent"/>
    <w:basedOn w:val="1"/>
    <w:link w:val="31"/>
    <w:unhideWhenUsed/>
    <w:uiPriority w:val="99"/>
    <w:pPr>
      <w:spacing w:after="120" w:line="276" w:lineRule="auto"/>
      <w:ind w:left="283"/>
    </w:pPr>
    <w:rPr>
      <w:rFonts w:ascii="Calibri" w:hAnsi="Calibri"/>
      <w:sz w:val="22"/>
      <w:szCs w:val="22"/>
      <w:lang w:val="uk-UA" w:eastAsia="en-US"/>
    </w:rPr>
  </w:style>
  <w:style w:type="paragraph" w:styleId="16">
    <w:name w:val="footer"/>
    <w:basedOn w:val="1"/>
    <w:qFormat/>
    <w:uiPriority w:val="0"/>
    <w:pPr>
      <w:tabs>
        <w:tab w:val="center" w:pos="4536"/>
        <w:tab w:val="right" w:pos="9072"/>
      </w:tabs>
    </w:pPr>
  </w:style>
  <w:style w:type="paragraph" w:styleId="17">
    <w:name w:val="List Number"/>
    <w:basedOn w:val="1"/>
    <w:unhideWhenUsed/>
    <w:qFormat/>
    <w:uiPriority w:val="99"/>
    <w:pPr>
      <w:numPr>
        <w:ilvl w:val="0"/>
        <w:numId w:val="1"/>
      </w:numPr>
      <w:spacing w:before="60"/>
      <w:contextualSpacing/>
      <w:jc w:val="both"/>
    </w:pPr>
    <w:rPr>
      <w:rFonts w:eastAsia="Times New Roman"/>
      <w:sz w:val="28"/>
      <w:szCs w:val="24"/>
      <w:lang w:val="uk-UA" w:eastAsia="en-US"/>
    </w:rPr>
  </w:style>
  <w:style w:type="paragraph" w:styleId="18">
    <w:name w:val="Normal (Web)"/>
    <w:basedOn w:val="1"/>
    <w:uiPriority w:val="0"/>
    <w:pPr>
      <w:spacing w:before="100" w:after="100"/>
    </w:pPr>
    <w:rPr>
      <w:sz w:val="24"/>
    </w:rPr>
  </w:style>
  <w:style w:type="paragraph" w:styleId="19">
    <w:name w:val="Subtitle"/>
    <w:basedOn w:val="1"/>
    <w:link w:val="36"/>
    <w:qFormat/>
    <w:locked/>
    <w:uiPriority w:val="0"/>
    <w:pPr>
      <w:jc w:val="center"/>
    </w:pPr>
    <w:rPr>
      <w:rFonts w:ascii="Arial" w:hAnsi="Arial" w:eastAsia="Times New Roman"/>
      <w:b/>
      <w:snapToGrid w:val="0"/>
      <w:sz w:val="32"/>
      <w:lang w:val="uk-UA" w:eastAsia="ru-RU"/>
    </w:rPr>
  </w:style>
  <w:style w:type="paragraph" w:styleId="2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lang w:val="uk-UA" w:eastAsia="uk-UA"/>
    </w:rPr>
  </w:style>
  <w:style w:type="table" w:styleId="21">
    <w:name w:val="Table Grid"/>
    <w:basedOn w:val="3"/>
    <w:qFormat/>
    <w:uiPriority w:val="0"/>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2">
    <w:name w:val="Default"/>
    <w:qFormat/>
    <w:uiPriority w:val="0"/>
    <w:pPr>
      <w:autoSpaceDE w:val="0"/>
      <w:autoSpaceDN w:val="0"/>
      <w:adjustRightInd w:val="0"/>
    </w:pPr>
    <w:rPr>
      <w:rFonts w:ascii="Verdana" w:hAnsi="Verdana" w:eastAsia="Times New Roman" w:cs="Verdana"/>
      <w:color w:val="000000"/>
      <w:sz w:val="24"/>
      <w:szCs w:val="24"/>
      <w:lang w:val="pl-PL" w:eastAsia="en-US" w:bidi="ar-SA"/>
    </w:rPr>
  </w:style>
  <w:style w:type="character" w:customStyle="1" w:styleId="23">
    <w:name w:val="Текст сноски Знак"/>
    <w:link w:val="12"/>
    <w:semiHidden/>
    <w:locked/>
    <w:uiPriority w:val="0"/>
    <w:rPr>
      <w:rFonts w:ascii="Times New Roman" w:hAnsi="Times New Roman"/>
      <w:sz w:val="20"/>
      <w:lang w:val="zh-CN" w:eastAsia="pl-PL"/>
    </w:rPr>
  </w:style>
  <w:style w:type="character" w:customStyle="1" w:styleId="24">
    <w:name w:val="Текст выноски Знак"/>
    <w:link w:val="9"/>
    <w:semiHidden/>
    <w:locked/>
    <w:uiPriority w:val="0"/>
    <w:rPr>
      <w:rFonts w:ascii="Tahoma" w:hAnsi="Tahoma"/>
      <w:sz w:val="16"/>
    </w:rPr>
  </w:style>
  <w:style w:type="character" w:customStyle="1" w:styleId="25">
    <w:name w:val="Верхний колонтитул Знак"/>
    <w:link w:val="13"/>
    <w:qFormat/>
    <w:locked/>
    <w:uiPriority w:val="0"/>
    <w:rPr>
      <w:rFonts w:ascii="Times New Roman" w:hAnsi="Times New Roman"/>
    </w:rPr>
  </w:style>
  <w:style w:type="character" w:customStyle="1" w:styleId="26">
    <w:name w:val="Текст примечания Знак"/>
    <w:link w:val="10"/>
    <w:semiHidden/>
    <w:locked/>
    <w:uiPriority w:val="0"/>
    <w:rPr>
      <w:rFonts w:ascii="Times New Roman" w:hAnsi="Times New Roman"/>
    </w:rPr>
  </w:style>
  <w:style w:type="character" w:customStyle="1" w:styleId="27">
    <w:name w:val="Тема примечания Знак"/>
    <w:link w:val="11"/>
    <w:semiHidden/>
    <w:locked/>
    <w:uiPriority w:val="0"/>
    <w:rPr>
      <w:rFonts w:ascii="Times New Roman" w:hAnsi="Times New Roman"/>
      <w:b/>
    </w:rPr>
  </w:style>
  <w:style w:type="paragraph" w:customStyle="1" w:styleId="28">
    <w:name w:val="List Paragraph1"/>
    <w:basedOn w:val="1"/>
    <w:qFormat/>
    <w:uiPriority w:val="0"/>
    <w:pPr>
      <w:suppressAutoHyphens/>
      <w:ind w:left="720"/>
      <w:jc w:val="both"/>
    </w:pPr>
    <w:rPr>
      <w:sz w:val="24"/>
      <w:lang w:eastAsia="ar-SA"/>
    </w:rPr>
  </w:style>
  <w:style w:type="paragraph" w:styleId="29">
    <w:name w:val="List Paragraph"/>
    <w:basedOn w:val="1"/>
    <w:qFormat/>
    <w:uiPriority w:val="34"/>
    <w:pPr>
      <w:suppressAutoHyphens/>
      <w:spacing w:after="200" w:line="276" w:lineRule="auto"/>
      <w:ind w:left="720"/>
    </w:pPr>
    <w:rPr>
      <w:rFonts w:ascii="Calibri" w:hAnsi="Calibri" w:cs="Calibri"/>
      <w:sz w:val="22"/>
      <w:szCs w:val="22"/>
      <w:lang w:val="ru-RU" w:eastAsia="ar-SA"/>
    </w:rPr>
  </w:style>
  <w:style w:type="character" w:customStyle="1" w:styleId="30">
    <w:name w:val="Основной текст (163) + Lucida Sans Unicode9"/>
    <w:qFormat/>
    <w:uiPriority w:val="0"/>
    <w:rPr>
      <w:rFonts w:hint="default" w:ascii="Lucida Sans Unicode" w:hAnsi="Lucida Sans Unicode" w:cs="Lucida Sans Unicode"/>
      <w:i/>
      <w:iCs/>
      <w:spacing w:val="-20"/>
      <w:sz w:val="23"/>
      <w:szCs w:val="23"/>
      <w:u w:val="none"/>
    </w:rPr>
  </w:style>
  <w:style w:type="character" w:customStyle="1" w:styleId="31">
    <w:name w:val="Основной текст с отступом Знак"/>
    <w:link w:val="15"/>
    <w:qFormat/>
    <w:uiPriority w:val="99"/>
    <w:rPr>
      <w:rFonts w:ascii="Calibri" w:hAnsi="Calibri" w:eastAsia="Calibri" w:cs="Times New Roman"/>
      <w:sz w:val="22"/>
      <w:szCs w:val="22"/>
      <w:lang w:val="uk-UA"/>
    </w:rPr>
  </w:style>
  <w:style w:type="character" w:customStyle="1" w:styleId="32">
    <w:name w:val="Основной текст Знак"/>
    <w:link w:val="14"/>
    <w:uiPriority w:val="0"/>
    <w:rPr>
      <w:rFonts w:ascii="Times New Roman" w:hAnsi="Times New Roman"/>
      <w:lang w:val="pl-PL" w:eastAsia="pl-PL"/>
    </w:rPr>
  </w:style>
  <w:style w:type="character" w:customStyle="1" w:styleId="33">
    <w:name w:val="Subtle Reference"/>
    <w:qFormat/>
    <w:uiPriority w:val="31"/>
    <w:rPr>
      <w:sz w:val="24"/>
      <w:szCs w:val="24"/>
      <w:u w:val="single"/>
    </w:rPr>
  </w:style>
  <w:style w:type="paragraph" w:styleId="34">
    <w:name w:val="Quote"/>
    <w:basedOn w:val="1"/>
    <w:next w:val="1"/>
    <w:link w:val="35"/>
    <w:qFormat/>
    <w:uiPriority w:val="29"/>
    <w:pPr>
      <w:spacing w:before="60"/>
      <w:jc w:val="both"/>
    </w:pPr>
    <w:rPr>
      <w:rFonts w:eastAsia="Times New Roman"/>
      <w:i/>
      <w:sz w:val="28"/>
      <w:szCs w:val="24"/>
      <w:lang w:val="uk-UA" w:eastAsia="en-US"/>
    </w:rPr>
  </w:style>
  <w:style w:type="character" w:customStyle="1" w:styleId="35">
    <w:name w:val="Цитата 2 Знак"/>
    <w:basedOn w:val="2"/>
    <w:link w:val="34"/>
    <w:qFormat/>
    <w:uiPriority w:val="29"/>
    <w:rPr>
      <w:rFonts w:ascii="Times New Roman" w:hAnsi="Times New Roman" w:eastAsia="Times New Roman"/>
      <w:i/>
      <w:sz w:val="28"/>
      <w:szCs w:val="24"/>
      <w:lang w:eastAsia="en-US"/>
    </w:rPr>
  </w:style>
  <w:style w:type="character" w:customStyle="1" w:styleId="36">
    <w:name w:val="Подзаголовок Знак"/>
    <w:basedOn w:val="2"/>
    <w:link w:val="19"/>
    <w:qFormat/>
    <w:uiPriority w:val="0"/>
    <w:rPr>
      <w:rFonts w:ascii="Arial" w:hAnsi="Arial" w:eastAsia="Times New Roman"/>
      <w:b/>
      <w:snapToGrid w:val="0"/>
      <w:sz w:val="32"/>
      <w:lang w:eastAsia="ru-RU"/>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DE8B19-1675-44F0-BC09-A9CDFC270B2F}">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2386</Words>
  <Characters>13602</Characters>
  <Lines>113</Lines>
  <Paragraphs>31</Paragraphs>
  <TotalTime>73</TotalTime>
  <ScaleCrop>false</ScaleCrop>
  <LinksUpToDate>false</LinksUpToDate>
  <CharactersWithSpaces>15957</CharactersWithSpaces>
  <Application>WPS Office_11.2.0.11341_F1E327BC-269C-435d-A152-05C5408002CA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2021-06-07T12:17:00Z</dcterms:created>
  <dc:creator>Rada Uczelniana</dc:creator>
  <cp:lastModifiedBy>user</cp:lastModifiedBy>
  <cp:lastPrinted>2013-09-27T07:08:00Z</cp:lastPrinted>
  <dcterms:modified xsi:type="dcterms:W3CDTF">2023-02-15T10:31:13Z</dcterms:modified>
  <dc:title>Z1-PU7</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C:\Users\y.borodavka\Downloads\Силабус_Форма.doc</vt:lpwstr>
  </property>
  <property fmtid="{D5CDD505-2E9C-101B-9397-08002B2CF9AE}" pid="4" name="KSOProductBuildVer">
    <vt:lpwstr>1049-11.2.0.11341</vt:lpwstr>
  </property>
  <property fmtid="{D5CDD505-2E9C-101B-9397-08002B2CF9AE}" pid="5" name="ICV">
    <vt:lpwstr>C5E962EF14824A1E8A3327DB550EABCB</vt:lpwstr>
  </property>
</Properties>
</file>