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 w:rsidTr="005D4811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C108AB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</w:t>
            </w:r>
            <w:r w:rsidR="00703B3E"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Pr="00C108AB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Технології будівельних конструкцій і виробів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</w:p>
          <w:p w:rsidR="00703B3E" w:rsidRPr="00583780" w:rsidRDefault="00703B3E" w:rsidP="00C108AB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викладача___</w:t>
            </w:r>
            <w:r w:rsidR="00C108AB" w:rsidRPr="00C108AB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Троян В</w:t>
            </w:r>
            <w:r w:rsidR="007A1D68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’</w:t>
            </w:r>
            <w:r w:rsidR="00C108AB" w:rsidRPr="00C108AB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ячеслав Васильович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</w:t>
            </w:r>
          </w:p>
        </w:tc>
      </w:tr>
      <w:tr w:rsidR="00703B3E" w:rsidRPr="007043D3" w:rsidTr="005D4811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A2224A" w:rsidRPr="007A1D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A2224A" w:rsidRPr="007A1D68" w:rsidRDefault="00A2224A" w:rsidP="0041721C">
            <w:pPr>
              <w:spacing w:line="240" w:lineRule="auto"/>
              <w:ind w:left="204" w:hanging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Vyacheslav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Troyan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Agnieszka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Jedrzejewska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Farid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Benboudjema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Laurie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Lacarri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è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Miguel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Azenha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7A1D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Dirk</w:t>
              </w:r>
              <w:r w:rsidRPr="007A1D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 </w:t>
              </w:r>
              <w:r w:rsidRPr="007A1D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Schlicke</w:t>
              </w:r>
            </w:hyperlink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Stefano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Dal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Pont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Arnaud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Delaplace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Jos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é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Granja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Karolina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Hajkova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Peter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Joachim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Heinrich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Giuseppe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Scium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è,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Emanuel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Strieder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Elisabeth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Stierschneider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í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Š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milauer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COST TU1404 benchmark on macroscopic modelling of concrete and concrete structures at early age: Proof-of-concept stage. Construction and Building Materials, 174.</w:t>
            </w:r>
            <w:r w:rsidRPr="007A1D68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). 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DOI: 10.1016/j.conbuildmat.2018.04.088 </w:t>
            </w:r>
          </w:p>
          <w:p w:rsidR="00A2224A" w:rsidRPr="007A1D68" w:rsidRDefault="00A2224A" w:rsidP="0041721C">
            <w:pPr>
              <w:spacing w:line="240" w:lineRule="auto"/>
              <w:ind w:left="204" w:hanging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A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2. V.Troуan. Improving the resistance of concrete for sleepers to the formation of delayed and secondary ettringite, the alkali-silica reaction, and electric corrosion/ V.Troуan, N.Sova// Eastern-European Journal of Enterprise Technologies.- 2019.№6/6 (102).- p.13-19. </w:t>
            </w:r>
          </w:p>
          <w:p w:rsidR="007A1D68" w:rsidRPr="007A1D68" w:rsidRDefault="007A1D68" w:rsidP="007A1D6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A1D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A1D6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 xml:space="preserve"> </w:t>
            </w:r>
            <w:r w:rsidRPr="007A1D6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Troian V.</w:t>
            </w:r>
            <w:r w:rsidRPr="007A1D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7A1D68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Gots V.</w:t>
            </w:r>
            <w:r w:rsidRPr="007A1D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…, Keita E., Roussel N., Angst U., Flatt R. J. Challenges in Material Recycling for Postwar Reconstruction. RILEM Tech Lett 2022, 7, 139-149. https://letters.rilem.net/index.php/rilem/article/view/171 (</w:t>
            </w:r>
            <w:r w:rsidRPr="007A1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Scopus</w:t>
            </w:r>
            <w:r w:rsidRPr="007A1D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(опубл.: грудень 2022 р.).</w:t>
            </w:r>
            <w:bookmarkStart w:id="0" w:name="_GoBack"/>
            <w:bookmarkEnd w:id="0"/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A2224A" w:rsidRDefault="00A2224A" w:rsidP="00A2224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224A" w:rsidRPr="00C84368" w:rsidRDefault="00A2224A" w:rsidP="00A2224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2224A" w:rsidRPr="007A1D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авторських аркушів), в тому числі видані у співавторстві (обсягом не менше 1,5 авторського аркуша на кожного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співавтора);</w:t>
            </w:r>
          </w:p>
        </w:tc>
        <w:tc>
          <w:tcPr>
            <w:tcW w:w="8505" w:type="dxa"/>
          </w:tcPr>
          <w:p w:rsidR="00A2224A" w:rsidRPr="007A1D68" w:rsidRDefault="00A2224A" w:rsidP="0041721C">
            <w:pPr>
              <w:spacing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21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1. </w:t>
            </w:r>
            <w:r w:rsidRPr="0041721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B0A49" wp14:editId="41D6447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7556500</wp:posOffset>
                      </wp:positionV>
                      <wp:extent cx="457200" cy="342900"/>
                      <wp:effectExtent l="0" t="3175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6B0ED" id="Прямоугольник 1" o:spid="_x0000_s1026" style="position:absolute;margin-left:3in;margin-top:59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" stroked="f"/>
                  </w:pict>
                </mc:Fallback>
              </mc:AlternateConten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Троян В.В. Підвищення стійкості бетону до внутрішньої сульфатної корозії / Троян В.В., Сова Н.О. // Монографія – О: Видавничий дім «Гельветика», 2020. - 132 с.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978-966-992-368-4</w:t>
            </w:r>
          </w:p>
          <w:p w:rsidR="00A2224A" w:rsidRPr="0041721C" w:rsidRDefault="00A2224A" w:rsidP="0041721C">
            <w:pPr>
              <w:spacing w:line="240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Троян В.В.</w:t>
            </w:r>
            <w:r w:rsidRPr="004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Забезпечення тріщиностійкості бетону масивних споруд: Монографія –</w:t>
            </w:r>
            <w:r w:rsidRPr="004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К: ТОВ НВП «Інтерсервіс», 2019.- 92 с</w:t>
            </w:r>
            <w:r w:rsidRPr="004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17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ISBN 978-617-696-611-1</w:t>
            </w:r>
          </w:p>
          <w:p w:rsidR="00A2224A" w:rsidRPr="007A1D68" w:rsidRDefault="00A2224A" w:rsidP="0041721C">
            <w:pPr>
              <w:shd w:val="clear" w:color="auto" w:fill="FFFFFF"/>
              <w:spacing w:line="240" w:lineRule="auto"/>
              <w:ind w:left="204" w:hanging="204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Троян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Технологічні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прогнозування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довговічності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бетонів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масивних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[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монографія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/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Троян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41721C">
              <w:rPr>
                <w:rFonts w:ascii="Times New Roman" w:hAnsi="Times New Roman" w:cs="Times New Roman"/>
                <w:sz w:val="24"/>
                <w:szCs w:val="24"/>
              </w:rPr>
              <w:t>Інтерсервіс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2017. – 238 c</w:t>
            </w:r>
            <w:r w:rsidRPr="004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A1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978-617-696-601-2</w:t>
            </w: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493A18" w:rsidRPr="00493A18" w:rsidRDefault="00493A18" w:rsidP="00493A1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6" w:hanging="283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7A1D6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Троян В.В. Добавки для бетонів і будівельних розчинів: Методичні вказівки до 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</w:t>
            </w:r>
            <w:r w:rsidRPr="007A1D6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практичних занять. 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Київ: КНУБА, 20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  <w:p w:rsidR="00493A18" w:rsidRPr="00493A18" w:rsidRDefault="00493A18" w:rsidP="00493A1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6" w:hanging="283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Троян В.В. Сухі будівельні суміші: методичні вказівки до вивчення дисципліни. Київ: КНУБА, 2021. – 1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3A18" w:rsidRPr="00493A18" w:rsidRDefault="00493A18" w:rsidP="00493A1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6" w:hanging="283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D6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ru-RU"/>
              </w:rPr>
              <w:t>Троян В.В. Технологія систем сухого будівництва: методичні вказівки до вивчення</w:t>
            </w:r>
            <w:r w:rsidRPr="007A1D6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дисципліни</w:t>
            </w:r>
            <w:r w:rsidRPr="00493A18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.</w:t>
            </w:r>
            <w:r w:rsidRPr="007A1D6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Київ: КНУБА, 2021. – 1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3A18" w:rsidRPr="00493A18" w:rsidRDefault="00493A18" w:rsidP="00493A1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6" w:hanging="283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D6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Троян В.В. Теплові процеси та теплотехнічне обладнання хімічних підприємств: методичні вказівки до вивчення дисципліни. 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Київ: КНУБА, 2021. – 12 с.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3A18" w:rsidRPr="00493A18" w:rsidRDefault="00493A18" w:rsidP="00493A1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6" w:hanging="283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D6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Троян В.В. Нормативна база будівництва: методичні вказівки до вивчення дисципліни. 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Київ: КНУБА, 2021. – 12 с.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3A18" w:rsidRPr="00493A18" w:rsidRDefault="00493A18" w:rsidP="00493A1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6" w:hanging="283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D6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Троян В.В. та ін. В'яжучі речовини: методичні вказівки до виконання курсового проекту. 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Київ: КНУБА, 2021. – 12 с.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3A18" w:rsidRPr="00493A18" w:rsidRDefault="00493A18" w:rsidP="00493A1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46" w:hanging="283"/>
              <w:jc w:val="both"/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1D6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Троян В.В. та ін. Розрахунки складу сировинних сумішей при виробництві в’яжучих речовин: 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Me</w:t>
            </w:r>
            <w:r w:rsidRPr="007A1D6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тодичні рекомендації до виконання курсового проекту з дисципліни «В’яжучі речовини». 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Київ: КНУБА, 2021. – 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493A18"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2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2224A" w:rsidRPr="00C84368" w:rsidRDefault="00A2224A" w:rsidP="00A2224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493A18" w:rsidRPr="007A1D68" w:rsidRDefault="00493A18" w:rsidP="00493A18">
            <w:pPr>
              <w:spacing w:after="0" w:line="240" w:lineRule="auto"/>
              <w:jc w:val="both"/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ахист дисертації на здобуття наукового ступеня</w:t>
            </w:r>
            <w:r w:rsidRPr="007A1D68"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д</w:t>
            </w:r>
            <w:r w:rsidRPr="007A1D68"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октор</w:t>
            </w:r>
            <w:r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а</w:t>
            </w:r>
            <w:r w:rsidRPr="007A1D68"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 технічних наук </w:t>
            </w:r>
            <w:r w:rsidR="00AD739E" w:rsidRPr="007A1D68"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(</w:t>
            </w:r>
            <w:r w:rsidR="00AD7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23.02.2016</w:t>
            </w:r>
            <w:r w:rsidR="00AD739E" w:rsidRPr="007A1D68"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) </w:t>
            </w:r>
            <w:r w:rsidRPr="007A1D68"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а</w:t>
            </w:r>
            <w:r w:rsidRPr="007A1D68"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 спеціальн</w:t>
            </w:r>
            <w:r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7A1D68"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>ст</w:t>
            </w:r>
            <w:r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ю</w:t>
            </w:r>
            <w:r w:rsidRPr="007A1D68"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  <w:t xml:space="preserve"> 05.23.05 - Будівельні матеріали та вироби. Рішення Атестаційної колегії від 12 травня 2016, диплом ДД №005533.</w:t>
            </w:r>
          </w:p>
          <w:p w:rsidR="00A2224A" w:rsidRPr="007A1D68" w:rsidRDefault="00A2224A" w:rsidP="00A2224A">
            <w:pPr>
              <w:spacing w:after="0" w:line="240" w:lineRule="auto"/>
              <w:jc w:val="both"/>
              <w:rPr>
                <w:rStyle w:val="FontStyle27"/>
                <w:rFonts w:ascii="Times New Roman" w:eastAsia="Arial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493A18" w:rsidRPr="00493A18" w:rsidRDefault="00493A18" w:rsidP="00493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A18">
              <w:rPr>
                <w:rFonts w:ascii="Times New Roman" w:hAnsi="Times New Roman" w:cs="Times New Roman"/>
                <w:sz w:val="24"/>
                <w:szCs w:val="24"/>
              </w:rPr>
              <w:t>Сова Надія Олександрівна, зарахування до аспірантури КНУБА з 15.11.2013 р. наказ № 1533/2 від 11.11.2013 р. без відриву від виробництва за державним замовленням. В 2020 р. захистила дисертацію та отримала науковий ступінь кандидата технічних наук за спеціальністю 05.23.05 «Будівельні матеріали та вироби».</w:t>
            </w:r>
          </w:p>
          <w:p w:rsidR="00A2224A" w:rsidRPr="00493A18" w:rsidRDefault="00A2224A" w:rsidP="00A2224A">
            <w:pPr>
              <w:spacing w:after="0" w:line="240" w:lineRule="auto"/>
              <w:jc w:val="both"/>
            </w:pP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E06FE0" w:rsidRPr="00E06FE0" w:rsidRDefault="00E06FE0" w:rsidP="00E06F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06FE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2017 – 2021 р. – член спеціалізованої вченої ради Д 26.056.05 при КНУБА за спеціальностями: 05.23.02 – основи і фундаменти,</w:t>
            </w:r>
          </w:p>
          <w:p w:rsidR="00E06FE0" w:rsidRPr="00E06FE0" w:rsidRDefault="00E06FE0" w:rsidP="00E06F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06FE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05.23.05 – будівельні матеріали та вироби, 21.06.01 – екологічна безпека. </w:t>
            </w:r>
          </w:p>
          <w:p w:rsidR="00A2224A" w:rsidRPr="00C84368" w:rsidRDefault="00E06FE0" w:rsidP="00E06FE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06FE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2021 р. – голова разової спеціалізованою вченої ради ДФ 26.056.023.</w:t>
            </w: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A2224A" w:rsidRDefault="00A2224A" w:rsidP="00E06FE0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06FE0" w:rsidRPr="00C84368" w:rsidRDefault="00E06FE0" w:rsidP="00E06FE0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A2224A" w:rsidRDefault="00A2224A" w:rsidP="00AB1DA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40AF7" w:rsidRDefault="00A40AF7" w:rsidP="00AB1DA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40AF7" w:rsidRPr="00C84368" w:rsidRDefault="00A40AF7" w:rsidP="00AB1DA8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2224A" w:rsidRPr="007A1D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A2224A" w:rsidRPr="00C84368" w:rsidRDefault="00A40AF7" w:rsidP="0051717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 </w:t>
            </w:r>
            <w:r w:rsidR="00E06FE0" w:rsidRPr="00E06FE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2017 – 2018 р. – приймав участь у проекті Евросоюзу COST TU1404 WG2 benchmark on numerical modelli</w:t>
            </w:r>
            <w:r w:rsidR="0051717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ng of CBM at early age – stage</w:t>
            </w: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A2224A" w:rsidRDefault="00A2224A" w:rsidP="00A40AF7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40AF7" w:rsidRPr="00C84368" w:rsidRDefault="00A40AF7" w:rsidP="00A40AF7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5D4811" w:rsidRPr="00116A88" w:rsidRDefault="005D4811" w:rsidP="00A40AF7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V. Troуan. Increasing the crack-resistance of high-strength self-compacting concrete / V. Troуan, В. Kindras // Technology Audit and Production Reserves – № 1/1(57), 2021:17-24. </w:t>
            </w:r>
          </w:p>
          <w:p w:rsidR="00302102" w:rsidRPr="00116A88" w:rsidRDefault="005D4811" w:rsidP="00A40AF7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. Троян В.В. Моделювання тріщиностійкості високоміцних бето-нів, здатних до самоущільнення / Троян В.В., Кіндрась Б.П. // Будівельні матеріали та вироби. – Київ, 2021, № 1-2 (102). С. 40-43</w:t>
            </w:r>
          </w:p>
          <w:p w:rsidR="005D4811" w:rsidRPr="007A1D68" w:rsidRDefault="00302102" w:rsidP="00A40AF7">
            <w:pPr>
              <w:spacing w:line="240" w:lineRule="auto"/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3. Т</w:t>
            </w:r>
            <w:r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роян В.В, Дослідження впливу мінеральних добавок на тріщиностійкість високоміцних бетонів.</w:t>
            </w:r>
            <w:r w:rsidR="00690C7F"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/</w:t>
            </w:r>
            <w:r w:rsidR="00690C7F"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Т</w:t>
            </w:r>
            <w:r w:rsidR="00690C7F"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роян В.В, Кіндрась Б.П. //</w:t>
            </w:r>
            <w:r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Наук.техн. зб. «Буд. Матер. вироби та сан. техніка», Київ, 2017, № 58. </w:t>
            </w:r>
            <w:r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С. 158 – 163.</w:t>
            </w:r>
            <w:r w:rsidRPr="00116A88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302102" w:rsidRPr="00116A88" w:rsidRDefault="00302102" w:rsidP="00A40AF7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16A8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</w:t>
            </w:r>
            <w:r w:rsidR="00690C7F"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Троян В.В. </w:t>
            </w:r>
            <w:r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Корозійна стійкість модифікованих бетонів для залізобетонних шпал. </w:t>
            </w:r>
            <w:r w:rsidR="00690C7F"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/ Троян В.В., Сова Н.О. // </w:t>
            </w:r>
            <w:r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Наук.техн. зб. </w:t>
            </w:r>
            <w:r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«Буд.матер. вироби та сан. техніка», Київ, 2017, № 58. С. 164 – 170.</w:t>
            </w:r>
          </w:p>
          <w:p w:rsidR="005D4811" w:rsidRPr="007A1D68" w:rsidRDefault="005D4811" w:rsidP="00A40AF7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5. Троян В.В. Модифіковані високоміцні бетони з високорухомих бетонних сумішей / Троян В.В., Кіндрась Б.П. // Наук.техн. зб. «Буд.матер. вироби та сан. техніка». – Київ, 2016, № 57. С. 180 – 182.</w:t>
            </w:r>
          </w:p>
          <w:p w:rsidR="00A2224A" w:rsidRPr="00302102" w:rsidRDefault="005D4811" w:rsidP="00A40AF7">
            <w:pPr>
              <w:spacing w:line="240" w:lineRule="auto"/>
              <w:rPr>
                <w:rStyle w:val="rvts82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="00302102"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. Троян В.В. Модифіковані бетони підвищеної довговічності для транспортних споруд. </w:t>
            </w:r>
            <w:r w:rsidR="007066EC"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7066EC"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Троян В.В.</w:t>
            </w:r>
            <w:r w:rsidR="007066EC"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066EC"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Сова Н.О.</w:t>
            </w:r>
            <w:r w:rsidR="007066EC"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066EC"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Стеценко О. </w:t>
            </w:r>
            <w:r w:rsidR="007066EC" w:rsidRPr="007A1D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// </w:t>
            </w:r>
            <w:r w:rsidR="00302102" w:rsidRPr="00116A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Журнал «Строительные материалы и изделия». – Київ, 2016. – №2-3 (92). – С. 42 – 45. </w:t>
            </w: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A2224A" w:rsidRDefault="00A2224A" w:rsidP="00E06FE0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06FE0" w:rsidRDefault="00E06FE0" w:rsidP="00E06FE0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06FE0" w:rsidRPr="00C84368" w:rsidRDefault="00E06FE0" w:rsidP="00E06FE0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A2224A" w:rsidRDefault="00A2224A" w:rsidP="00A40AF7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40AF7" w:rsidRPr="00C84368" w:rsidRDefault="00A40AF7" w:rsidP="00A40AF7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A2224A" w:rsidRDefault="00A2224A" w:rsidP="00A40AF7">
            <w:pPr>
              <w:pStyle w:val="1"/>
              <w:ind w:left="0" w:right="0" w:firstLine="0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  <w:p w:rsidR="00A40AF7" w:rsidRPr="00C84368" w:rsidRDefault="00A40AF7" w:rsidP="00A40AF7">
            <w:pPr>
              <w:pStyle w:val="1"/>
              <w:ind w:left="0" w:right="0" w:firstLine="0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>
              <w:rPr>
                <w:rStyle w:val="rvts82"/>
                <w:rFonts w:cs="Calibri"/>
                <w:sz w:val="24"/>
                <w:szCs w:val="24"/>
                <w:lang w:val="uk-UA"/>
              </w:rPr>
              <w:t>-</w:t>
            </w: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A2224A" w:rsidRDefault="00A2224A" w:rsidP="00A40AF7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40AF7" w:rsidRPr="00C84368" w:rsidRDefault="00A40AF7" w:rsidP="00A40AF7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2224A" w:rsidRPr="00150CDF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A2224A" w:rsidRDefault="00A2224A" w:rsidP="00A40AF7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40AF7" w:rsidRPr="00C84368" w:rsidRDefault="00A40AF7" w:rsidP="00A40AF7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2224A" w:rsidRPr="00595150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A2224A" w:rsidRDefault="00A2224A" w:rsidP="00A40AF7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A40AF7" w:rsidRPr="00C84368" w:rsidRDefault="00A40AF7" w:rsidP="00A40AF7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2224A" w:rsidRPr="00C84368" w:rsidTr="005D4811">
        <w:tc>
          <w:tcPr>
            <w:tcW w:w="6487" w:type="dxa"/>
          </w:tcPr>
          <w:p w:rsidR="00A2224A" w:rsidRPr="00C84368" w:rsidRDefault="00A2224A" w:rsidP="00A2224A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A2224A" w:rsidRPr="00C84368" w:rsidRDefault="00A40AF7" w:rsidP="00A40AF7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5D4811" w:rsidRPr="00C84368" w:rsidTr="005D4811">
        <w:tc>
          <w:tcPr>
            <w:tcW w:w="6487" w:type="dxa"/>
          </w:tcPr>
          <w:p w:rsidR="005D4811" w:rsidRPr="00C84368" w:rsidRDefault="005D4811" w:rsidP="005D481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5D4811" w:rsidRPr="00A15951" w:rsidRDefault="005D4811" w:rsidP="005D4811">
            <w:pPr>
              <w:jc w:val="center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Практична робота за спеціальністю з 2001р.</w:t>
            </w: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BD" w:rsidRDefault="003139BD" w:rsidP="0065335E">
      <w:pPr>
        <w:spacing w:after="0" w:line="240" w:lineRule="auto"/>
      </w:pPr>
      <w:r>
        <w:separator/>
      </w:r>
    </w:p>
  </w:endnote>
  <w:endnote w:type="continuationSeparator" w:id="0">
    <w:p w:rsidR="003139BD" w:rsidRDefault="003139B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BD" w:rsidRDefault="003139BD" w:rsidP="0065335E">
      <w:pPr>
        <w:spacing w:after="0" w:line="240" w:lineRule="auto"/>
      </w:pPr>
      <w:r>
        <w:separator/>
      </w:r>
    </w:p>
  </w:footnote>
  <w:footnote w:type="continuationSeparator" w:id="0">
    <w:p w:rsidR="003139BD" w:rsidRDefault="003139B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9A5"/>
    <w:multiLevelType w:val="hybridMultilevel"/>
    <w:tmpl w:val="79E021BA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0256932"/>
    <w:multiLevelType w:val="hybridMultilevel"/>
    <w:tmpl w:val="C0B8C8F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555C5"/>
    <w:multiLevelType w:val="multilevel"/>
    <w:tmpl w:val="4D62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6B066F"/>
    <w:multiLevelType w:val="hybridMultilevel"/>
    <w:tmpl w:val="2158B4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D1230"/>
    <w:rsid w:val="00116A88"/>
    <w:rsid w:val="00145480"/>
    <w:rsid w:val="00150CDF"/>
    <w:rsid w:val="00243A4C"/>
    <w:rsid w:val="00302102"/>
    <w:rsid w:val="003139BD"/>
    <w:rsid w:val="0041721C"/>
    <w:rsid w:val="00493A18"/>
    <w:rsid w:val="00517172"/>
    <w:rsid w:val="00583780"/>
    <w:rsid w:val="00595150"/>
    <w:rsid w:val="005C7699"/>
    <w:rsid w:val="005D4811"/>
    <w:rsid w:val="00616124"/>
    <w:rsid w:val="0065335E"/>
    <w:rsid w:val="00690C7F"/>
    <w:rsid w:val="006C0F76"/>
    <w:rsid w:val="00703B3E"/>
    <w:rsid w:val="007043D3"/>
    <w:rsid w:val="007066EC"/>
    <w:rsid w:val="0074175F"/>
    <w:rsid w:val="00794A8B"/>
    <w:rsid w:val="007A1D68"/>
    <w:rsid w:val="00817ACF"/>
    <w:rsid w:val="008510A5"/>
    <w:rsid w:val="0092340D"/>
    <w:rsid w:val="0093579B"/>
    <w:rsid w:val="00984B12"/>
    <w:rsid w:val="009A4D29"/>
    <w:rsid w:val="00A2224A"/>
    <w:rsid w:val="00A40AF7"/>
    <w:rsid w:val="00AB1DA8"/>
    <w:rsid w:val="00AD739E"/>
    <w:rsid w:val="00B27649"/>
    <w:rsid w:val="00C108AB"/>
    <w:rsid w:val="00C84368"/>
    <w:rsid w:val="00D84FF0"/>
    <w:rsid w:val="00DC7E63"/>
    <w:rsid w:val="00DE5ADC"/>
    <w:rsid w:val="00E06FE0"/>
    <w:rsid w:val="00E9675C"/>
    <w:rsid w:val="00F73316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3F1D63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493A18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val="en-US" w:eastAsia="uk-UA"/>
    </w:rPr>
  </w:style>
  <w:style w:type="character" w:customStyle="1" w:styleId="FontStyle27">
    <w:name w:val="Font Style27"/>
    <w:basedOn w:val="a0"/>
    <w:uiPriority w:val="99"/>
    <w:rsid w:val="00493A1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z.pure.elsevier.com/en/persons/dirk-schlic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Пользователь Windows</cp:lastModifiedBy>
  <cp:revision>3</cp:revision>
  <dcterms:created xsi:type="dcterms:W3CDTF">2021-12-21T12:57:00Z</dcterms:created>
  <dcterms:modified xsi:type="dcterms:W3CDTF">2023-01-04T11:16:00Z</dcterms:modified>
</cp:coreProperties>
</file>