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7043D3" w:rsidRPr="005E4C2E" w14:paraId="3F11D28A" w14:textId="77777777" w:rsidTr="007043D3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9F9FB" w14:textId="7475E7B5" w:rsidR="00607B6E" w:rsidRPr="00607B6E" w:rsidRDefault="00FC0736" w:rsidP="00607B6E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</w:pPr>
            <w:r w:rsidRPr="005E4C2E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Кафедра</w:t>
            </w:r>
            <w:r w:rsidR="00225AE6" w:rsidRPr="005E4C2E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6E2CE2" w:rsidRPr="005E4C2E">
              <w:rPr>
                <w:rStyle w:val="rvts82"/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  <w:t>Опору матеріалів</w:t>
            </w:r>
          </w:p>
          <w:p w14:paraId="6F8AA37F" w14:textId="6A46F8F9" w:rsidR="00607B6E" w:rsidRPr="005E4C2E" w:rsidRDefault="005E4C2E" w:rsidP="00607B6E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</w:pPr>
            <w:r w:rsidRPr="005E4C2E">
              <w:rPr>
                <w:rStyle w:val="rvts82"/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  <w:t>Чубарев Антон Глібович</w:t>
            </w:r>
          </w:p>
          <w:p w14:paraId="420C7F21" w14:textId="77777777" w:rsidR="00FE07CA" w:rsidRDefault="005E4C2E" w:rsidP="00607B6E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</w:pPr>
            <w:r>
              <w:rPr>
                <w:rStyle w:val="rvts82"/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  <w:t>завідуючий лабораторією</w:t>
            </w:r>
          </w:p>
          <w:p w14:paraId="5ABA7B1C" w14:textId="34AF3EE4" w:rsidR="00607B6E" w:rsidRPr="005E4C2E" w:rsidRDefault="00607B6E" w:rsidP="00607B6E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</w:pPr>
          </w:p>
        </w:tc>
      </w:tr>
      <w:tr w:rsidR="0065335E" w:rsidRPr="005E4C2E" w14:paraId="4A6C7AE6" w14:textId="77777777" w:rsidTr="007043D3">
        <w:trPr>
          <w:trHeight w:val="652"/>
        </w:trPr>
        <w:tc>
          <w:tcPr>
            <w:tcW w:w="14992" w:type="dxa"/>
            <w:gridSpan w:val="2"/>
            <w:shd w:val="clear" w:color="auto" w:fill="auto"/>
          </w:tcPr>
          <w:p w14:paraId="29C6CB28" w14:textId="77777777" w:rsidR="0065335E" w:rsidRPr="005E4C2E" w:rsidRDefault="0065335E" w:rsidP="00607B6E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/>
                <w:sz w:val="28"/>
                <w:szCs w:val="28"/>
              </w:rPr>
            </w:pPr>
            <w:r w:rsidRPr="005E4C2E">
              <w:rPr>
                <w:rFonts w:ascii="Times New Roman" w:hAnsi="Times New Roman"/>
                <w:b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7043D3" w:rsidRPr="005E4C2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043D3" w:rsidRPr="005E4C2E">
              <w:rPr>
                <w:rFonts w:ascii="Times New Roman" w:hAnsi="Times New Roman"/>
                <w:sz w:val="28"/>
                <w:szCs w:val="28"/>
              </w:rPr>
              <w:br/>
            </w:r>
            <w:r w:rsidR="007043D3" w:rsidRPr="005E4C2E">
              <w:rPr>
                <w:rFonts w:ascii="Times New Roman" w:hAnsi="Times New Roman"/>
                <w:sz w:val="22"/>
                <w:szCs w:val="22"/>
              </w:rPr>
              <w:t>(</w:t>
            </w:r>
            <w:r w:rsidR="007043D3" w:rsidRPr="005E4C2E">
              <w:rPr>
                <w:rFonts w:ascii="Times New Roman" w:hAnsi="Times New Roman"/>
                <w:b/>
                <w:sz w:val="22"/>
                <w:szCs w:val="22"/>
              </w:rPr>
              <w:t>Пункт 38</w:t>
            </w:r>
            <w:r w:rsidR="007043D3" w:rsidRPr="005E4C2E">
              <w:rPr>
                <w:rFonts w:ascii="Times New Roman" w:hAnsi="Times New Roman"/>
                <w:sz w:val="22"/>
                <w:szCs w:val="22"/>
              </w:rPr>
              <w:t xml:space="preserve"> постанови КМУ від 30 грудня 2015 р. № 1187 (в редакції постанови КМУ від 24 березня 2021 р. № 365)</w:t>
            </w:r>
          </w:p>
        </w:tc>
      </w:tr>
      <w:tr w:rsidR="0065335E" w:rsidRPr="00607B6E" w14:paraId="72945B67" w14:textId="77777777" w:rsidTr="007043D3">
        <w:tc>
          <w:tcPr>
            <w:tcW w:w="6487" w:type="dxa"/>
            <w:shd w:val="clear" w:color="auto" w:fill="auto"/>
          </w:tcPr>
          <w:p w14:paraId="3EB39A54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1)наявність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Collection;</w:t>
            </w:r>
          </w:p>
        </w:tc>
        <w:tc>
          <w:tcPr>
            <w:tcW w:w="8505" w:type="dxa"/>
            <w:shd w:val="clear" w:color="auto" w:fill="auto"/>
          </w:tcPr>
          <w:p w14:paraId="366BD618" w14:textId="4E709EC5" w:rsidR="006E2CE2" w:rsidRPr="005E4C2E" w:rsidRDefault="006E2CE2" w:rsidP="0060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1.Чибіряков В.К., Станкевич А.М., Кошевий О.П., Левківський Д.В., Краснеєва А.О., Пошивач Д.В., Чубарев А.Г., Шорін О.А., Янсонс М.О., Сович Ю.В. Чисельна реалізація модифікованого методу прямих. // Н. т. збірник «Містобудування та територіальне планування», в. 74, К.:КНУБА, 2020р. – с.341-359.</w:t>
            </w:r>
          </w:p>
          <w:p w14:paraId="5187D48A" w14:textId="48A642CC" w:rsidR="00B37FF6" w:rsidRPr="005E4C2E" w:rsidRDefault="00E70262" w:rsidP="0060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DOI:</w:t>
            </w:r>
            <w:r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hyperlink r:id="rId7" w:history="1">
              <w:r w:rsidR="00B37FF6" w:rsidRPr="005E4C2E">
                <w:rPr>
                  <w:rStyle w:val="a3"/>
                  <w:rFonts w:ascii="Times New Roman" w:hAnsi="Times New Roman" w:cs="Times New Roman"/>
                  <w:color w:val="007AB2"/>
                  <w:sz w:val="24"/>
                  <w:szCs w:val="24"/>
                  <w:lang w:val="uk-UA"/>
                </w:rPr>
                <w:t>https://doi.org/10.32347/2076-815x.2020.74.341-359</w:t>
              </w:r>
            </w:hyperlink>
          </w:p>
          <w:p w14:paraId="751DE2F5" w14:textId="77777777" w:rsidR="00E70262" w:rsidRPr="005E4C2E" w:rsidRDefault="006E2CE2" w:rsidP="0060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520143"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Чибіряков В.К., Станкевич А.М., Кошевий О.П., Левківський Д.В., Краснеєва А.О., Пошивач Д.В., Чубарев А.Г., Шорін О.А., Янсонс М.О., Сович Ю.В. Модифікований метод прямих, алгоритм його застосування, можливості та перспективи. // Н. т. збірник «Містобудування та територіальне планування», в. 70, К.:КНУБА, 2019р. – с.595-616.</w:t>
            </w:r>
          </w:p>
          <w:p w14:paraId="6A18EB63" w14:textId="78B28ED1" w:rsidR="00E70262" w:rsidRPr="005E4C2E" w:rsidRDefault="00E70262" w:rsidP="0060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DOI:</w:t>
            </w:r>
            <w:r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hyperlink r:id="rId8" w:history="1">
              <w:r w:rsidRPr="005E4C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https://doi.org/10.32347/2076-815x.2019.70.595-616</w:t>
              </w:r>
            </w:hyperlink>
          </w:p>
          <w:p w14:paraId="67DF27DE" w14:textId="0C16F02A" w:rsidR="006E2CE2" w:rsidRDefault="006E2CE2" w:rsidP="0060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520143"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7B6E">
              <w:t xml:space="preserve"> </w:t>
            </w:r>
            <w:r w:rsidR="00607B6E" w:rsidRPr="00607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Чубарев А. Г. Про застосування модифікованого метода прямих в задачах термопружності нетонких пластин // Н. т. збірник «Містобудування та територіальне планування», в. 80, К.:КНУБА, 2022р. – с.486-498.</w:t>
            </w:r>
          </w:p>
          <w:p w14:paraId="670833AD" w14:textId="703A5784" w:rsidR="00607B6E" w:rsidRPr="005E4C2E" w:rsidRDefault="00607B6E" w:rsidP="0060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DOI:</w:t>
            </w:r>
            <w:r w:rsidRPr="00607B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https://doi.org/10.32347/2076-815x.2022.80.486-498</w:t>
            </w:r>
          </w:p>
          <w:p w14:paraId="2A7A7748" w14:textId="5AED9D60" w:rsidR="006E2CE2" w:rsidRPr="005E4C2E" w:rsidRDefault="006E2CE2" w:rsidP="00607B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520143"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="00520143" w:rsidRPr="005E4C2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Модифікований метод прямих в статичних задачах вісесиметричних нетонких пластин</w:t>
              </w:r>
            </w:hyperlink>
            <w:r w:rsidR="00520143"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</w:t>
            </w:r>
            <w:r w:rsidR="00520143" w:rsidRPr="005E4C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Strength of Materials and Theory of Structures // 2022/11/11</w:t>
            </w:r>
          </w:p>
          <w:p w14:paraId="0B345B04" w14:textId="2E7D251D" w:rsidR="0065335E" w:rsidRPr="005E4C2E" w:rsidRDefault="00E70262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4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DOI:</w:t>
            </w:r>
            <w:r w:rsidRPr="005E4C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hyperlink r:id="rId10" w:history="1">
              <w:r w:rsidR="009A0411" w:rsidRPr="005E4C2E">
                <w:rPr>
                  <w:rStyle w:val="a3"/>
                  <w:rFonts w:ascii="Times New Roman" w:hAnsi="Times New Roman" w:cs="Times New Roman"/>
                  <w:color w:val="009DE5"/>
                  <w:sz w:val="24"/>
                  <w:szCs w:val="24"/>
                  <w:lang w:val="uk-UA"/>
                </w:rPr>
                <w:t>https://doi.org/10.32347/2410-2547.2022.109.342-358</w:t>
              </w:r>
            </w:hyperlink>
          </w:p>
        </w:tc>
      </w:tr>
      <w:tr w:rsidR="0065335E" w:rsidRPr="005E4C2E" w14:paraId="50FBA5B3" w14:textId="77777777" w:rsidTr="007043D3">
        <w:tc>
          <w:tcPr>
            <w:tcW w:w="6487" w:type="dxa"/>
            <w:shd w:val="clear" w:color="auto" w:fill="auto"/>
          </w:tcPr>
          <w:p w14:paraId="40836C0A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2)наявність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твір;</w:t>
            </w:r>
          </w:p>
        </w:tc>
        <w:tc>
          <w:tcPr>
            <w:tcW w:w="8505" w:type="dxa"/>
            <w:shd w:val="clear" w:color="auto" w:fill="auto"/>
          </w:tcPr>
          <w:p w14:paraId="0CD48B96" w14:textId="15E0FD76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335E" w:rsidRPr="005E4C2E" w14:paraId="7AB6F8C6" w14:textId="77777777" w:rsidTr="007043D3">
        <w:tc>
          <w:tcPr>
            <w:tcW w:w="6487" w:type="dxa"/>
            <w:shd w:val="clear" w:color="auto" w:fill="auto"/>
          </w:tcPr>
          <w:p w14:paraId="6110A44F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5E4C2E">
              <w:rPr>
                <w:rFonts w:ascii="Times New Roman" w:hAnsi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  <w:shd w:val="clear" w:color="auto" w:fill="auto"/>
          </w:tcPr>
          <w:p w14:paraId="567C5432" w14:textId="31DA1193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6AF15D39" w14:textId="77777777" w:rsidTr="007043D3">
        <w:tc>
          <w:tcPr>
            <w:tcW w:w="6487" w:type="dxa"/>
            <w:shd w:val="clear" w:color="auto" w:fill="auto"/>
          </w:tcPr>
          <w:p w14:paraId="5872B25F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  <w:shd w:val="clear" w:color="auto" w:fill="auto"/>
          </w:tcPr>
          <w:p w14:paraId="4331DCD3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7F591E43" w14:textId="77777777" w:rsidTr="007043D3">
        <w:tc>
          <w:tcPr>
            <w:tcW w:w="6487" w:type="dxa"/>
            <w:shd w:val="clear" w:color="auto" w:fill="auto"/>
          </w:tcPr>
          <w:p w14:paraId="489233FD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5)захист дисертації на здобуття наукового ступеня;</w:t>
            </w:r>
          </w:p>
        </w:tc>
        <w:tc>
          <w:tcPr>
            <w:tcW w:w="8505" w:type="dxa"/>
            <w:shd w:val="clear" w:color="auto" w:fill="auto"/>
          </w:tcPr>
          <w:p w14:paraId="2BE15A7C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404920CF" w14:textId="77777777" w:rsidTr="007043D3">
        <w:tc>
          <w:tcPr>
            <w:tcW w:w="6487" w:type="dxa"/>
            <w:shd w:val="clear" w:color="auto" w:fill="auto"/>
          </w:tcPr>
          <w:p w14:paraId="18EADAAA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8505" w:type="dxa"/>
            <w:shd w:val="clear" w:color="auto" w:fill="auto"/>
          </w:tcPr>
          <w:p w14:paraId="04D37C03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32F94061" w14:textId="77777777" w:rsidTr="007043D3">
        <w:tc>
          <w:tcPr>
            <w:tcW w:w="6487" w:type="dxa"/>
            <w:shd w:val="clear" w:color="auto" w:fill="auto"/>
          </w:tcPr>
          <w:p w14:paraId="507C74FF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  <w:shd w:val="clear" w:color="auto" w:fill="auto"/>
          </w:tcPr>
          <w:p w14:paraId="51A145A2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4B2DE3CD" w14:textId="77777777" w:rsidTr="007043D3">
        <w:tc>
          <w:tcPr>
            <w:tcW w:w="6487" w:type="dxa"/>
            <w:shd w:val="clear" w:color="auto" w:fill="auto"/>
          </w:tcPr>
          <w:p w14:paraId="1F278BA1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  <w:shd w:val="clear" w:color="auto" w:fill="auto"/>
          </w:tcPr>
          <w:p w14:paraId="4B24506B" w14:textId="77777777" w:rsidR="0065335E" w:rsidRPr="005E4C2E" w:rsidRDefault="0065335E" w:rsidP="00607B6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3760D0CE" w14:textId="77777777" w:rsidTr="007043D3">
        <w:tc>
          <w:tcPr>
            <w:tcW w:w="6487" w:type="dxa"/>
            <w:shd w:val="clear" w:color="auto" w:fill="auto"/>
          </w:tcPr>
          <w:p w14:paraId="3A88FB87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  <w:shd w:val="clear" w:color="auto" w:fill="auto"/>
          </w:tcPr>
          <w:p w14:paraId="34262B88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4BF03D48" w14:textId="77777777" w:rsidTr="007043D3">
        <w:tc>
          <w:tcPr>
            <w:tcW w:w="6487" w:type="dxa"/>
            <w:shd w:val="clear" w:color="auto" w:fill="auto"/>
          </w:tcPr>
          <w:p w14:paraId="183744DB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  <w:shd w:val="clear" w:color="auto" w:fill="auto"/>
          </w:tcPr>
          <w:p w14:paraId="1B594D1E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481FF4F0" w14:textId="77777777" w:rsidTr="007043D3">
        <w:tc>
          <w:tcPr>
            <w:tcW w:w="6487" w:type="dxa"/>
            <w:shd w:val="clear" w:color="auto" w:fill="auto"/>
          </w:tcPr>
          <w:p w14:paraId="5A6BD4A3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  <w:shd w:val="clear" w:color="auto" w:fill="auto"/>
          </w:tcPr>
          <w:p w14:paraId="75C9571D" w14:textId="71C72A0F" w:rsidR="0065335E" w:rsidRPr="005E4C2E" w:rsidRDefault="002D27D3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ТОВ «УніверсалПроектСервіс», науковий консультант, договір </w:t>
            </w:r>
            <w:r w:rsidR="00B214C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01.0</w:t>
            </w:r>
            <w:r w:rsidR="00B214C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B214C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2019-НК, безстроковий. </w:t>
            </w:r>
          </w:p>
        </w:tc>
      </w:tr>
      <w:tr w:rsidR="0065335E" w:rsidRPr="00607B6E" w14:paraId="190B136E" w14:textId="77777777" w:rsidTr="007043D3">
        <w:tc>
          <w:tcPr>
            <w:tcW w:w="6487" w:type="dxa"/>
            <w:shd w:val="clear" w:color="auto" w:fill="auto"/>
          </w:tcPr>
          <w:p w14:paraId="0D046957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  <w:shd w:val="clear" w:color="auto" w:fill="auto"/>
          </w:tcPr>
          <w:p w14:paraId="35E8B17D" w14:textId="77777777" w:rsidR="00520143" w:rsidRDefault="005133DB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</w:t>
            </w:r>
            <w:r w:rsidRPr="005133D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Чибіряков В.К., Кошевий О.П., Чубарев А.Г.  Про один алгоритм для розв’язування задач термопружності на основі узагальненого метода прямих // BUILD-MASTER-CLASS-2018: Proceedings of international scientific-practical conference of young scientists. «Видавництво Ліра-К». – Вип. 74 –К.: КНУБА, 2018. – 190-191 с.</w:t>
            </w:r>
          </w:p>
          <w:p w14:paraId="7614D7B1" w14:textId="1DB26D57" w:rsidR="002D27D3" w:rsidRPr="002D27D3" w:rsidRDefault="002D27D3" w:rsidP="002D27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2. </w:t>
            </w:r>
            <w:proofErr w:type="spellStart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Чубарев</w:t>
            </w:r>
            <w:proofErr w:type="spellEnd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А.Г.  </w:t>
            </w:r>
            <w:r>
              <w:t xml:space="preserve"> </w:t>
            </w:r>
            <w:proofErr w:type="spellStart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Застосування</w:t>
            </w:r>
            <w:proofErr w:type="spellEnd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модифікованого</w:t>
            </w:r>
            <w:proofErr w:type="spellEnd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метода </w:t>
            </w:r>
            <w:proofErr w:type="spellStart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прямих</w:t>
            </w:r>
            <w:proofErr w:type="spellEnd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розрахунках</w:t>
            </w:r>
            <w:proofErr w:type="spellEnd"/>
          </w:p>
          <w:p w14:paraId="7D49F363" w14:textId="66391012" w:rsidR="002D27D3" w:rsidRPr="002D27D3" w:rsidRDefault="002D27D3" w:rsidP="002D27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термопружності</w:t>
            </w:r>
            <w:proofErr w:type="spellEnd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для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пластин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товстими</w:t>
            </w:r>
            <w:proofErr w:type="spellEnd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стінками</w:t>
            </w:r>
            <w:proofErr w:type="spellEnd"/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// BUILD-MASTER-CLASS-2022: Proceedings of international scientific-practical conference of young scientists. –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.: 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КНУБА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2022. – 175-176 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r w:rsidRPr="002D27D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</w:tc>
      </w:tr>
      <w:tr w:rsidR="0065335E" w:rsidRPr="005E4C2E" w14:paraId="522514F8" w14:textId="77777777" w:rsidTr="007043D3">
        <w:tc>
          <w:tcPr>
            <w:tcW w:w="6487" w:type="dxa"/>
            <w:shd w:val="clear" w:color="auto" w:fill="auto"/>
          </w:tcPr>
          <w:p w14:paraId="58F51D2E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 xml:space="preserve">13)проведення навчальних занять із спеціальних дисциплін іноземною мовою (крім дисциплін мовної підготовки) в обсязі не менше </w:t>
            </w:r>
            <w:r w:rsidRPr="005E4C2E">
              <w:rPr>
                <w:rFonts w:ascii="Times New Roman" w:hAnsi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  <w:shd w:val="clear" w:color="auto" w:fill="auto"/>
          </w:tcPr>
          <w:p w14:paraId="4E6D4CB8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607B6E" w14:paraId="58CF8058" w14:textId="77777777" w:rsidTr="007043D3">
        <w:tc>
          <w:tcPr>
            <w:tcW w:w="6487" w:type="dxa"/>
            <w:shd w:val="clear" w:color="auto" w:fill="auto"/>
          </w:tcPr>
          <w:p w14:paraId="73A25E09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  <w:shd w:val="clear" w:color="auto" w:fill="auto"/>
          </w:tcPr>
          <w:p w14:paraId="36FE6759" w14:textId="1B6C5A54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607B6E" w14:paraId="1C017ADF" w14:textId="77777777" w:rsidTr="007043D3">
        <w:tc>
          <w:tcPr>
            <w:tcW w:w="6487" w:type="dxa"/>
            <w:shd w:val="clear" w:color="auto" w:fill="auto"/>
          </w:tcPr>
          <w:p w14:paraId="2B7BA6F5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рівня);</w:t>
            </w:r>
          </w:p>
        </w:tc>
        <w:tc>
          <w:tcPr>
            <w:tcW w:w="8505" w:type="dxa"/>
            <w:shd w:val="clear" w:color="auto" w:fill="auto"/>
          </w:tcPr>
          <w:p w14:paraId="41C0C990" w14:textId="77777777" w:rsidR="0065335E" w:rsidRPr="005E4C2E" w:rsidRDefault="0065335E" w:rsidP="00607B6E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65335E" w:rsidRPr="00607B6E" w14:paraId="15043840" w14:textId="77777777" w:rsidTr="007043D3">
        <w:tc>
          <w:tcPr>
            <w:tcW w:w="6487" w:type="dxa"/>
            <w:shd w:val="clear" w:color="auto" w:fill="auto"/>
          </w:tcPr>
          <w:p w14:paraId="7FD38384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  <w:shd w:val="clear" w:color="auto" w:fill="auto"/>
          </w:tcPr>
          <w:p w14:paraId="70695C3B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607B6E" w14:paraId="7069B0DA" w14:textId="77777777" w:rsidTr="007043D3">
        <w:tc>
          <w:tcPr>
            <w:tcW w:w="6487" w:type="dxa"/>
            <w:shd w:val="clear" w:color="auto" w:fill="auto"/>
          </w:tcPr>
          <w:p w14:paraId="5DEEA99E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  <w:shd w:val="clear" w:color="auto" w:fill="auto"/>
          </w:tcPr>
          <w:p w14:paraId="27EDFF59" w14:textId="77777777" w:rsidR="0065335E" w:rsidRPr="005E4C2E" w:rsidRDefault="0065335E" w:rsidP="00607B6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607B6E" w14:paraId="6BF53E97" w14:textId="77777777" w:rsidTr="007043D3">
        <w:tc>
          <w:tcPr>
            <w:tcW w:w="6487" w:type="dxa"/>
            <w:shd w:val="clear" w:color="auto" w:fill="auto"/>
          </w:tcPr>
          <w:p w14:paraId="21B28BE4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 w:rsidR="00616124" w:rsidRPr="005E4C2E">
              <w:rPr>
                <w:rFonts w:ascii="Times New Roman" w:hAnsi="Times New Roman"/>
                <w:sz w:val="24"/>
                <w:szCs w:val="24"/>
              </w:rPr>
              <w:t>бройних сил країн — членів НАТО</w:t>
            </w:r>
            <w:r w:rsidRPr="005E4C2E">
              <w:rPr>
                <w:rFonts w:ascii="Times New Roman" w:hAnsi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  <w:shd w:val="clear" w:color="auto" w:fill="auto"/>
          </w:tcPr>
          <w:p w14:paraId="59AD647F" w14:textId="77777777" w:rsidR="0065335E" w:rsidRPr="005E4C2E" w:rsidRDefault="0065335E" w:rsidP="00607B6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347B80AC" w14:textId="77777777" w:rsidTr="007043D3">
        <w:tc>
          <w:tcPr>
            <w:tcW w:w="6487" w:type="dxa"/>
            <w:shd w:val="clear" w:color="auto" w:fill="auto"/>
          </w:tcPr>
          <w:p w14:paraId="3A6F1A9F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  <w:shd w:val="clear" w:color="auto" w:fill="auto"/>
          </w:tcPr>
          <w:p w14:paraId="535D11AA" w14:textId="26D1F8E2" w:rsidR="0065335E" w:rsidRPr="005E4C2E" w:rsidRDefault="0065335E" w:rsidP="00607B6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E4C2E" w14:paraId="067596CC" w14:textId="77777777" w:rsidTr="007043D3">
        <w:tc>
          <w:tcPr>
            <w:tcW w:w="6487" w:type="dxa"/>
            <w:shd w:val="clear" w:color="auto" w:fill="auto"/>
          </w:tcPr>
          <w:p w14:paraId="01041F21" w14:textId="77777777" w:rsidR="0065335E" w:rsidRPr="005E4C2E" w:rsidRDefault="0065335E" w:rsidP="00607B6E">
            <w:pPr>
              <w:pStyle w:val="a9"/>
              <w:widowControl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4C2E">
              <w:rPr>
                <w:rFonts w:ascii="Times New Roman" w:hAnsi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  <w:shd w:val="clear" w:color="auto" w:fill="auto"/>
          </w:tcPr>
          <w:p w14:paraId="162AE3E5" w14:textId="5D647903" w:rsidR="0065335E" w:rsidRPr="005E4C2E" w:rsidRDefault="00B214C7" w:rsidP="00607B6E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214C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ТОВ «УніверсалПроектСервіс»,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2020 року – головний інженер проектів, з 2021 року – директор. </w:t>
            </w:r>
          </w:p>
        </w:tc>
      </w:tr>
    </w:tbl>
    <w:p w14:paraId="6826BD7A" w14:textId="77777777" w:rsidR="0065335E" w:rsidRPr="005E4C2E" w:rsidRDefault="0065335E" w:rsidP="00607B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5335E" w:rsidRPr="005E4C2E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261C" w14:textId="77777777" w:rsidR="0096052B" w:rsidRDefault="0096052B" w:rsidP="0065335E">
      <w:pPr>
        <w:spacing w:after="0" w:line="240" w:lineRule="auto"/>
      </w:pPr>
      <w:r>
        <w:separator/>
      </w:r>
    </w:p>
  </w:endnote>
  <w:endnote w:type="continuationSeparator" w:id="0">
    <w:p w14:paraId="23168760" w14:textId="77777777" w:rsidR="0096052B" w:rsidRDefault="0096052B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6C4D" w14:textId="77777777" w:rsidR="0096052B" w:rsidRDefault="0096052B" w:rsidP="0065335E">
      <w:pPr>
        <w:spacing w:after="0" w:line="240" w:lineRule="auto"/>
      </w:pPr>
      <w:r>
        <w:separator/>
      </w:r>
    </w:p>
  </w:footnote>
  <w:footnote w:type="continuationSeparator" w:id="0">
    <w:p w14:paraId="3AB225E9" w14:textId="77777777" w:rsidR="0096052B" w:rsidRDefault="0096052B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603626">
    <w:abstractNumId w:val="1"/>
  </w:num>
  <w:num w:numId="2" w16cid:durableId="11364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5E"/>
    <w:rsid w:val="000D1230"/>
    <w:rsid w:val="00225AE6"/>
    <w:rsid w:val="0023191F"/>
    <w:rsid w:val="002D27D3"/>
    <w:rsid w:val="005133DB"/>
    <w:rsid w:val="00520143"/>
    <w:rsid w:val="005C4F36"/>
    <w:rsid w:val="005C7699"/>
    <w:rsid w:val="005E4C2E"/>
    <w:rsid w:val="00607B6E"/>
    <w:rsid w:val="00616124"/>
    <w:rsid w:val="0065335E"/>
    <w:rsid w:val="006E2CE2"/>
    <w:rsid w:val="007043D3"/>
    <w:rsid w:val="0074175F"/>
    <w:rsid w:val="00817ACF"/>
    <w:rsid w:val="0092340D"/>
    <w:rsid w:val="0093579B"/>
    <w:rsid w:val="0096052B"/>
    <w:rsid w:val="00984B12"/>
    <w:rsid w:val="009A0411"/>
    <w:rsid w:val="009E4DA6"/>
    <w:rsid w:val="00AA2950"/>
    <w:rsid w:val="00B214C7"/>
    <w:rsid w:val="00B37FF6"/>
    <w:rsid w:val="00C84368"/>
    <w:rsid w:val="00E70262"/>
    <w:rsid w:val="00F61390"/>
    <w:rsid w:val="00FB25E1"/>
    <w:rsid w:val="00FC0736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815B"/>
  <w15:docId w15:val="{806D6CDE-1519-425A-BCEC-E2B7EA5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rPr>
      <w:rFonts w:ascii="Calibri" w:eastAsia="SimSun" w:hAnsi="Calibri" w:cs="SimSun"/>
      <w:lang w:eastAsia="ru-RU"/>
    </w:rPr>
  </w:style>
  <w:style w:type="paragraph" w:styleId="2">
    <w:name w:val="heading 2"/>
    <w:basedOn w:val="a"/>
    <w:link w:val="20"/>
    <w:uiPriority w:val="9"/>
    <w:qFormat/>
    <w:rsid w:val="009A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5335E"/>
  </w:style>
  <w:style w:type="character" w:styleId="a3">
    <w:name w:val="Hyperlink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rsid w:val="0065335E"/>
  </w:style>
  <w:style w:type="character" w:customStyle="1" w:styleId="bibliographic-informationvalue">
    <w:name w:val="bibliographic-information__value"/>
    <w:rsid w:val="0065335E"/>
  </w:style>
  <w:style w:type="paragraph" w:styleId="a5">
    <w:name w:val="header"/>
    <w:basedOn w:val="a"/>
    <w:link w:val="a6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335E"/>
    <w:rPr>
      <w:rFonts w:ascii="Calibri" w:eastAsia="SimSun" w:hAnsi="Calibri" w:cs="SimSu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335E"/>
    <w:rPr>
      <w:rFonts w:ascii="Calibri" w:eastAsia="SimSun" w:hAnsi="Calibri" w:cs="SimSun"/>
      <w:lang w:eastAsia="ru-RU"/>
    </w:rPr>
  </w:style>
  <w:style w:type="paragraph" w:customStyle="1" w:styleId="a9">
    <w:name w:val="Нормальний текст"/>
    <w:basedOn w:val="a"/>
    <w:qFormat/>
    <w:rsid w:val="0065335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a"/>
    <w:qFormat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A0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A0411"/>
  </w:style>
  <w:style w:type="character" w:styleId="aa">
    <w:name w:val="Unresolved Mention"/>
    <w:basedOn w:val="a0"/>
    <w:uiPriority w:val="99"/>
    <w:semiHidden/>
    <w:unhideWhenUsed/>
    <w:rsid w:val="00E70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347/2076-815x.2019.70.595-616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oi.org/10.32347/2076-815x.2020.74.341-359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https://doi.org/10.32347/2410-2547.2022.109.342-358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scholar.google.com/citations?view_op=view_citation&amp;hl=ru&amp;user=IE-dnoMAAAAJ&amp;citation_for_view=IE-dnoMAAAAJ:HoB7MX3m0LU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Natase</dc:creator>
  <cp:lastModifiedBy>Олена Борисівна Турковська</cp:lastModifiedBy>
  <cp:revision>2</cp:revision>
  <dcterms:created xsi:type="dcterms:W3CDTF">2023-03-16T18:00:00Z</dcterms:created>
  <dcterms:modified xsi:type="dcterms:W3CDTF">2023-03-16T18:00:00Z</dcterms:modified>
</cp:coreProperties>
</file>