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11822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</w:t>
            </w:r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Електротехніки та електроприводу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_______________________________</w:t>
            </w:r>
          </w:p>
          <w:p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ПІБ </w:t>
            </w:r>
            <w:proofErr w:type="spellStart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викладача__</w:t>
            </w:r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Мазурен</w:t>
            </w:r>
            <w:proofErr w:type="spellEnd"/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ко Леонід Іванович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</w:t>
            </w:r>
          </w:p>
          <w:p w:rsidR="00FD27D1" w:rsidRPr="00583780" w:rsidRDefault="00FD27D1" w:rsidP="004A13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Завідувач кафедри ___________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</w:t>
            </w:r>
            <w:r w:rsidR="00E81160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2004 р.____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524F4C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1A51DD" w:rsidRPr="001A51DD" w:rsidRDefault="0022242D" w:rsidP="00CA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. </w:t>
            </w:r>
            <w:proofErr w:type="spellStart"/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Mazurenko</w:t>
            </w:r>
            <w:proofErr w:type="spellEnd"/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L.I., </w:t>
            </w:r>
            <w:proofErr w:type="spellStart"/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Dzhura</w:t>
            </w:r>
            <w:proofErr w:type="spellEnd"/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O.V., </w:t>
            </w:r>
            <w:proofErr w:type="spellStart"/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Shevchuk</w:t>
            </w:r>
            <w:proofErr w:type="spellEnd"/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S.P. Transients in a transistor-switched capacitor regulator of a stand-alone induction generator supplying a single-phase load (2017) Proceedings of the International Conference on Modern Electrical and Energy Systems, MEES 2017, 2018-January, pp. 244-247. </w:t>
            </w:r>
            <w:r w:rsidR="00CA27C9" w:rsidRPr="00CA27C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="001A51D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Scopus)</w:t>
            </w:r>
          </w:p>
          <w:p w:rsidR="001A51DD" w:rsidRPr="00CA27C9" w:rsidRDefault="001A51DD" w:rsidP="00CA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  <w:p w:rsidR="0022242D" w:rsidRPr="0022242D" w:rsidRDefault="00CA27C9" w:rsidP="0022242D">
            <w:pPr>
              <w:pStyle w:val="HTML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24323C">
              <w:rPr>
                <w:color w:val="000000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24323C">
              <w:rPr>
                <w:color w:val="000000"/>
                <w:sz w:val="22"/>
                <w:szCs w:val="22"/>
                <w:lang w:val="en-US"/>
              </w:rPr>
              <w:t>Shykhnenko</w:t>
            </w:r>
            <w:proofErr w:type="spellEnd"/>
            <w:r w:rsidRPr="0024323C">
              <w:rPr>
                <w:color w:val="000000"/>
                <w:sz w:val="22"/>
                <w:szCs w:val="22"/>
                <w:lang w:val="en-US"/>
              </w:rPr>
              <w:t xml:space="preserve">, M.O., </w:t>
            </w:r>
            <w:proofErr w:type="spellStart"/>
            <w:r w:rsidRPr="0024323C">
              <w:rPr>
                <w:color w:val="000000"/>
                <w:sz w:val="22"/>
                <w:szCs w:val="22"/>
                <w:lang w:val="en-US"/>
              </w:rPr>
              <w:t>Mazurenko</w:t>
            </w:r>
            <w:proofErr w:type="spellEnd"/>
            <w:r w:rsidRPr="0024323C">
              <w:rPr>
                <w:color w:val="000000"/>
                <w:sz w:val="22"/>
                <w:szCs w:val="22"/>
                <w:lang w:val="en-US"/>
              </w:rPr>
              <w:t xml:space="preserve">, L.I., </w:t>
            </w:r>
            <w:proofErr w:type="spellStart"/>
            <w:r w:rsidRPr="0024323C">
              <w:rPr>
                <w:color w:val="000000"/>
                <w:sz w:val="22"/>
                <w:szCs w:val="22"/>
                <w:lang w:val="en-US"/>
              </w:rPr>
              <w:t>Dzhura</w:t>
            </w:r>
            <w:proofErr w:type="spellEnd"/>
            <w:r w:rsidRPr="0024323C">
              <w:rPr>
                <w:color w:val="000000"/>
                <w:sz w:val="22"/>
                <w:szCs w:val="22"/>
                <w:lang w:val="en-US"/>
              </w:rPr>
              <w:t xml:space="preserve">, O.V., </w:t>
            </w:r>
            <w:proofErr w:type="spellStart"/>
            <w:r w:rsidRPr="0024323C">
              <w:rPr>
                <w:color w:val="000000"/>
                <w:sz w:val="22"/>
                <w:szCs w:val="22"/>
                <w:lang w:val="en-US"/>
              </w:rPr>
              <w:t>Bilyk</w:t>
            </w:r>
            <w:proofErr w:type="spellEnd"/>
            <w:r w:rsidRPr="0024323C">
              <w:rPr>
                <w:color w:val="000000"/>
                <w:sz w:val="22"/>
                <w:szCs w:val="22"/>
                <w:lang w:val="en-US"/>
              </w:rPr>
              <w:t xml:space="preserve">, O.A. Mathematical model, research and improvement of the switched reluctance generator voltage stabilization methods (2018) 2018 IEEE 3rd International Conference on Intelligent Energy and Power Systems, IEPS 2018 - Proceedings, 2018-January, art. </w:t>
            </w:r>
            <w:proofErr w:type="gramStart"/>
            <w:r w:rsidRPr="0024323C">
              <w:rPr>
                <w:color w:val="000000"/>
                <w:sz w:val="22"/>
                <w:szCs w:val="22"/>
                <w:lang w:val="en-US"/>
              </w:rPr>
              <w:t>no</w:t>
            </w:r>
            <w:proofErr w:type="gramEnd"/>
            <w:r w:rsidRPr="0024323C">
              <w:rPr>
                <w:color w:val="000000"/>
                <w:sz w:val="22"/>
                <w:szCs w:val="22"/>
                <w:lang w:val="en-US"/>
              </w:rPr>
              <w:t xml:space="preserve">. 8559578, pp. 338-342. </w:t>
            </w:r>
            <w:r w:rsidRPr="00CA27C9">
              <w:rPr>
                <w:color w:val="000000"/>
                <w:sz w:val="22"/>
                <w:szCs w:val="22"/>
                <w:lang w:val="uk-UA"/>
              </w:rPr>
              <w:t>(</w:t>
            </w:r>
            <w:r w:rsidRPr="0022242D">
              <w:rPr>
                <w:color w:val="000000"/>
                <w:sz w:val="22"/>
                <w:szCs w:val="22"/>
                <w:lang w:val="en-US"/>
              </w:rPr>
              <w:t>Scopus</w:t>
            </w:r>
            <w:r w:rsidR="0022242D">
              <w:rPr>
                <w:color w:val="000000"/>
                <w:sz w:val="22"/>
                <w:szCs w:val="22"/>
                <w:lang w:val="en-US"/>
              </w:rPr>
              <w:t>)</w:t>
            </w:r>
            <w:r w:rsidR="004F562B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r w:rsidR="0022242D"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3. </w:t>
            </w:r>
            <w:proofErr w:type="spellStart"/>
            <w:r w:rsidR="0022242D"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Mazurenko</w:t>
            </w:r>
            <w:proofErr w:type="spellEnd"/>
            <w:r w:rsidR="0022242D"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L.I., </w:t>
            </w:r>
            <w:proofErr w:type="spellStart"/>
            <w:r w:rsidR="0022242D"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Vasyliv</w:t>
            </w:r>
            <w:proofErr w:type="spellEnd"/>
            <w:r w:rsidR="0022242D"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, K.M.</w:t>
            </w:r>
          </w:p>
          <w:p w:rsidR="0022242D" w:rsidRPr="0022242D" w:rsidRDefault="0022242D" w:rsidP="0022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Thelawoftheelectricmagneticprocessesofthesecurityexercisesystemsoftheautonomousasynchronizedgeneratoronthecaseofthecascade three-phase three-flexible voltage modulator (2018) Technical Electrodynamics, 2018 (6), pp. 46-49 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  <w:p w:rsidR="0022242D" w:rsidRPr="0022242D" w:rsidRDefault="0022242D" w:rsidP="0022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  <w:p w:rsidR="0022242D" w:rsidRPr="0022242D" w:rsidRDefault="0022242D" w:rsidP="0022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4.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Mazurenko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L.I.,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Vasyliv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K.M.,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Dzhura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O.V. Mathematical model and working regimes of induction motors operating with in thermal power stations (2018) Technical Electrodynamics, 2018 (4), pp. 79-83 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  <w:p w:rsidR="0022242D" w:rsidRPr="0022242D" w:rsidRDefault="0022242D" w:rsidP="0022242D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ntiqua" w:eastAsia="Times New Roman" w:hAnsi="Antiqua" w:cs="Times New Roman"/>
                <w:sz w:val="26"/>
                <w:szCs w:val="20"/>
                <w:lang w:val="uk-UA"/>
              </w:rPr>
            </w:pPr>
          </w:p>
          <w:p w:rsidR="0022242D" w:rsidRPr="0022242D" w:rsidRDefault="0022242D" w:rsidP="0022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uk-UA" w:eastAsia="uk-UA"/>
              </w:rPr>
            </w:pP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5.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Mazurenko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L.,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Dzhura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O.,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Kramar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M.,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Shykhnenko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M. Wind Energy Conversion System with Induction Generators Connected to a Single Static Compensator (2019) Proceedings of the International Conference on Modern Electrical and Energy Systems, MEES 2019, art. no. 8896405, pp. 258-261 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  <w:p w:rsidR="0022242D" w:rsidRPr="0022242D" w:rsidRDefault="0022242D" w:rsidP="0022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  <w:p w:rsidR="00855064" w:rsidRPr="00855064" w:rsidRDefault="0022242D" w:rsidP="00855064">
            <w:pPr>
              <w:pStyle w:val="HTML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6.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Zachepa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I.,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Chornyi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O.,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Mazurenko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L.,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Buryakovskiy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S.,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Zachepa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N., </w:t>
            </w:r>
            <w:proofErr w:type="spell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Chenchevoi</w:t>
            </w:r>
            <w:proofErr w:type="spell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V. Development of Theory and Practice of the Local Autonomous Power Supply Sources Creation (2019) Proceedings of the International Conference on Modern Electrical and Energy Systems, MEES 2019, art. </w:t>
            </w:r>
            <w:proofErr w:type="gramStart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no</w:t>
            </w:r>
            <w:proofErr w:type="gramEnd"/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. 8896424, pp. 178-181 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Pr="0022242D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</w:t>
            </w:r>
            <w:r w:rsidR="0024323C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)</w:t>
            </w:r>
            <w:r w:rsidR="004F562B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   </w:t>
            </w:r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7.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Dobzhanskyi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O.,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Hossain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E.,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Amiri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E.,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Gouws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R.,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Grebenikov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V.,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Mazurenko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L.,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Pryjmak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M., </w:t>
            </w:r>
            <w:proofErr w:type="spellStart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Gamaliia</w:t>
            </w:r>
            <w:proofErr w:type="spellEnd"/>
            <w:r w:rsidR="00855064"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, R.</w:t>
            </w:r>
          </w:p>
          <w:p w:rsidR="00855064" w:rsidRPr="00855064" w:rsidRDefault="00855064" w:rsidP="00855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Axial-Flux PM Disk Generator with Magnetic Gear for Oceanic Wave Energy Harvesting (2019) IEEE Access, 7, art. no. 8676317, pp. 44813-44822 </w:t>
            </w:r>
            <w:r w:rsidRPr="0085506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</w:t>
            </w:r>
            <w:r w:rsidRPr="0085506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  <w:p w:rsidR="00855064" w:rsidRPr="00855064" w:rsidRDefault="00855064" w:rsidP="00855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  <w:p w:rsidR="00855064" w:rsidRPr="00855064" w:rsidRDefault="00855064" w:rsidP="00855064">
            <w:pPr>
              <w:tabs>
                <w:tab w:val="left" w:pos="851"/>
              </w:tabs>
              <w:spacing w:after="0" w:line="240" w:lineRule="auto"/>
              <w:rPr>
                <w:rFonts w:ascii="Antiqua" w:eastAsia="Times New Roman" w:hAnsi="Antiqua" w:cs="Times New Roman"/>
                <w:sz w:val="26"/>
                <w:szCs w:val="20"/>
                <w:lang w:val="uk-UA"/>
              </w:rPr>
            </w:pPr>
            <w:r w:rsidRPr="00855064">
              <w:rPr>
                <w:rFonts w:ascii="Times New Roman" w:eastAsia="Times New Roman" w:hAnsi="Times New Roman" w:cs="Times New Roman"/>
                <w:lang w:val="uk-UA"/>
              </w:rPr>
              <w:t xml:space="preserve">8. Василів К.М., Мазуренко Л.І. Математична модель електротехнічного комплексу для приводу головних циркуляційних </w:t>
            </w:r>
            <w:r w:rsidRPr="0085506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помп ядерного реактора ВВЕР-1000 атомних електричних станцій // </w:t>
            </w:r>
            <w:proofErr w:type="spellStart"/>
            <w:r w:rsidRPr="00855064">
              <w:rPr>
                <w:rFonts w:ascii="Times New Roman" w:eastAsia="Times New Roman" w:hAnsi="Times New Roman" w:cs="Times New Roman"/>
                <w:lang w:val="uk-UA"/>
              </w:rPr>
              <w:t>Елетротехніка</w:t>
            </w:r>
            <w:proofErr w:type="spellEnd"/>
            <w:r w:rsidRPr="00855064">
              <w:rPr>
                <w:rFonts w:ascii="Times New Roman" w:eastAsia="Times New Roman" w:hAnsi="Times New Roman" w:cs="Times New Roman"/>
                <w:lang w:val="uk-UA"/>
              </w:rPr>
              <w:t xml:space="preserve"> і Електромеханіка -2019. - №6.- С.12-20</w:t>
            </w:r>
            <w:r w:rsidRPr="0085506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855064"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85506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  <w:p w:rsidR="00855064" w:rsidRPr="00855064" w:rsidRDefault="00855064" w:rsidP="008550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BC241E" w:rsidRPr="00BC241E" w:rsidRDefault="00855064" w:rsidP="00BC241E">
            <w:pPr>
              <w:spacing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9. </w:t>
            </w:r>
            <w:proofErr w:type="spellStart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Mazurenko</w:t>
            </w:r>
            <w:proofErr w:type="spellEnd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L.I., </w:t>
            </w:r>
            <w:proofErr w:type="spellStart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Vasyliv</w:t>
            </w:r>
            <w:proofErr w:type="spellEnd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K.M., </w:t>
            </w:r>
            <w:proofErr w:type="spellStart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Dzhura</w:t>
            </w:r>
            <w:proofErr w:type="spellEnd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O.V., </w:t>
            </w:r>
            <w:proofErr w:type="spellStart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Kotsiuruba</w:t>
            </w:r>
            <w:proofErr w:type="spellEnd"/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A.V. Simulation model and control algorithm for isolated hydro-wind power system (2020) Technical Electrodynamics, 2020 (1), pp. 1-4. </w:t>
            </w:r>
            <w:r w:rsidRPr="0085506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Pr="0085506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</w:t>
            </w:r>
            <w:r w:rsidRPr="0085506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  <w:r w:rsidR="00BC241E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</w:t>
            </w:r>
            <w:r w:rsidR="004F562B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   </w:t>
            </w:r>
            <w:r w:rsidR="00BC241E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</w:t>
            </w:r>
            <w:r w:rsidR="00BC241E" w:rsidRPr="00BC24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 </w:t>
            </w:r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Мазуренко Л.І., </w:t>
            </w:r>
            <w:proofErr w:type="spellStart"/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>Бібік</w:t>
            </w:r>
            <w:proofErr w:type="spellEnd"/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 О.В., </w:t>
            </w:r>
            <w:proofErr w:type="spellStart"/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>Шихненко</w:t>
            </w:r>
            <w:proofErr w:type="spellEnd"/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 М.О.</w:t>
            </w:r>
            <w:r w:rsidR="00BC241E" w:rsidRPr="00BC241E">
              <w:rPr>
                <w:rFonts w:ascii="Times New Roman" w:eastAsia="Times New Roman" w:hAnsi="Times New Roman" w:cs="Times New Roman"/>
                <w:lang w:val="en-US"/>
              </w:rPr>
              <w:t xml:space="preserve"> «</w:t>
            </w:r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BC241E" w:rsidRPr="00BC241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ослідження способів керування вентильно-індукторним приводом насосного обладнання </w:t>
            </w:r>
            <w:r w:rsidR="00BC241E" w:rsidRPr="00BC241E">
              <w:rPr>
                <w:rFonts w:ascii="Times New Roman" w:eastAsia="Times New Roman" w:hAnsi="Times New Roman" w:cs="Courier New"/>
                <w:lang w:val="uk-UA" w:eastAsia="uk-UA"/>
              </w:rPr>
              <w:t>з циклічним навантаженням</w:t>
            </w:r>
            <w:r w:rsidR="00BC241E" w:rsidRPr="00BC241E">
              <w:rPr>
                <w:rFonts w:ascii="Times New Roman" w:eastAsia="Times New Roman" w:hAnsi="Times New Roman" w:cs="Courier New"/>
                <w:lang w:val="en-US" w:eastAsia="uk-UA"/>
              </w:rPr>
              <w:t xml:space="preserve">» </w:t>
            </w:r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>Технічна електродинаміка.</w:t>
            </w:r>
            <w:r w:rsidR="00BC241E" w:rsidRPr="00BC24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>2022. № 6. С.  36</w:t>
            </w:r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softHyphen/>
              <w:t>-41.</w:t>
            </w:r>
          </w:p>
          <w:p w:rsidR="00BC241E" w:rsidRPr="00BC241E" w:rsidRDefault="00F03C5D" w:rsidP="00BC241E">
            <w:pPr>
              <w:spacing w:after="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8" w:history="1">
              <w:r w:rsidR="00BC241E" w:rsidRPr="00BC241E">
                <w:rPr>
                  <w:rFonts w:ascii="Times New Roman" w:eastAsia="Times New Roman" w:hAnsi="Times New Roman" w:cs="Times New Roman"/>
                  <w:color w:val="0000FF"/>
                  <w:u w:val="single"/>
                  <w:lang w:val="uk-UA"/>
                </w:rPr>
                <w:t>https://doi.org/10.15407/techned2022.06.036</w:t>
              </w:r>
            </w:hyperlink>
            <w:r w:rsidR="00BC241E" w:rsidRPr="00BC241E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 xml:space="preserve"> </w:t>
            </w:r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BC241E" w:rsidRPr="00BC241E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  <w:r w:rsidR="00BC241E" w:rsidRPr="00BC241E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241E" w:rsidRPr="00BC241E" w:rsidRDefault="00BC241E" w:rsidP="00BC241E">
            <w:pPr>
              <w:spacing w:after="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064" w:rsidRPr="00BC241E" w:rsidRDefault="00BC241E" w:rsidP="00BC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uk-UA"/>
              </w:rPr>
            </w:pPr>
            <w:r w:rsidRPr="00BC241E">
              <w:rPr>
                <w:rFonts w:ascii="Times New Roman" w:eastAsia="Times New Roman" w:hAnsi="Times New Roman" w:cs="Times New Roman"/>
                <w:lang w:val="en-US"/>
              </w:rPr>
              <w:t>11. L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.  </w:t>
            </w:r>
            <w:proofErr w:type="spellStart"/>
            <w:r w:rsidRPr="00BC241E">
              <w:rPr>
                <w:rFonts w:ascii="Times New Roman" w:eastAsia="Times New Roman" w:hAnsi="Times New Roman" w:cs="Times New Roman"/>
                <w:lang w:val="en-US"/>
              </w:rPr>
              <w:t>Mazurenko</w:t>
            </w:r>
            <w:proofErr w:type="spellEnd"/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BC241E">
              <w:rPr>
                <w:rFonts w:ascii="Times New Roman" w:eastAsia="Times New Roman" w:hAnsi="Times New Roman" w:cs="Times New Roman"/>
                <w:lang w:val="en-US"/>
              </w:rPr>
              <w:t>Dzhura</w:t>
            </w:r>
            <w:proofErr w:type="spellEnd"/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BC241E">
              <w:rPr>
                <w:rFonts w:ascii="Times New Roman" w:eastAsia="Times New Roman" w:hAnsi="Times New Roman" w:cs="Times New Roman"/>
                <w:lang w:val="en-US"/>
              </w:rPr>
              <w:t>Shykhnenko</w:t>
            </w:r>
            <w:proofErr w:type="spellEnd"/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BC241E">
              <w:rPr>
                <w:rFonts w:ascii="Times New Roman" w:eastAsia="Times New Roman" w:hAnsi="Times New Roman" w:cs="Times New Roman"/>
                <w:lang w:val="en-US"/>
              </w:rPr>
              <w:t>Kotsiuruba</w:t>
            </w:r>
            <w:proofErr w:type="spellEnd"/>
            <w:r w:rsidRPr="00BC241E">
              <w:rPr>
                <w:rFonts w:ascii="Times New Roman" w:eastAsia="Times New Roman" w:hAnsi="Times New Roman" w:cs="Times New Roman"/>
                <w:lang w:val="en-US"/>
              </w:rPr>
              <w:t xml:space="preserve"> «Frequency and voltage control in isolated power systems with parallel operating AC generators using master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 xml:space="preserve">generator assistance method» 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>Технічна електродинаміка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 xml:space="preserve"> 2023, 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>№2 (буде опублікована</w:t>
            </w:r>
            <w:r w:rsidRPr="00BC241E">
              <w:rPr>
                <w:rFonts w:ascii="Times New Roman" w:eastAsia="Times New Roman" w:hAnsi="Times New Roman" w:cs="Times New Roman"/>
                <w:lang w:val="en-US"/>
              </w:rPr>
              <w:t xml:space="preserve"> Scopus</w:t>
            </w:r>
            <w:r w:rsidRPr="00BC241E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855064" w:rsidRPr="00855064" w:rsidRDefault="00855064" w:rsidP="00855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703B3E" w:rsidRPr="0024323C" w:rsidRDefault="00703B3E" w:rsidP="00243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rvts82"/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посібників/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посібників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24F4C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1. Науковий керівник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Шихненка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М.О., який захистив дисертацію кандидата техн.</w:t>
            </w: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наук у 2021р.: Стартер-генератор підвищеної енергоефективності на основі вентильно-індукторної машини, диплом ДК №061052 від 29.06.2021р.</w:t>
            </w:r>
          </w:p>
          <w:p w:rsidR="00703B3E" w:rsidRPr="00C84368" w:rsidRDefault="00734692" w:rsidP="0073469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2. Науковий консультант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Бібік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О.В., яка захистила дисертацію доктора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техн..наук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у 2020р.: Розвиток теорії та розроблення засобів підвищення енергоефективності вентильно-індукторних і асинхронних двигунів зі змінним навантаженням, диплом ДД № 010876 від 09.02.2021р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FE71B7" w:rsidRPr="00FE71B7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20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20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рр. – Офіційний опонент 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  <w:proofErr w:type="spellStart"/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-ти</w:t>
            </w:r>
            <w:proofErr w:type="spellEnd"/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кандидатських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 докторських 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дисертацій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FE71B7" w:rsidRPr="00FE71B7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спеціалізованих вчених рад зі спеціальностей 05.09.01 –</w:t>
            </w:r>
          </w:p>
          <w:p w:rsidR="00FE71B7" w:rsidRPr="00FE71B7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електричні машини і апарати та 05.09.03 – електричні комплекси і</w:t>
            </w:r>
          </w:p>
          <w:p w:rsidR="00703B3E" w:rsidRPr="00C84368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системи в Інституті електродинаміки НАНУ.</w:t>
            </w:r>
          </w:p>
        </w:tc>
      </w:tr>
      <w:tr w:rsidR="00703B3E" w:rsidRPr="00524F4C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FD01C7" w:rsidRPr="00A95604" w:rsidRDefault="00FD01C7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D01C7" w:rsidRPr="00FD01C7" w:rsidRDefault="00FD01C7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1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редакційних колегій наукового журналу «Технічна</w:t>
            </w:r>
          </w:p>
          <w:p w:rsidR="00FD01C7" w:rsidRPr="00524F4C" w:rsidRDefault="00FD01C7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1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електродинаміка» (входить до </w:t>
            </w:r>
            <w:proofErr w:type="spellStart"/>
            <w:r w:rsidRPr="00FD01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кометричних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баз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Scopus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тощо) </w:t>
            </w:r>
            <w:r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0F5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Вісника НТУ ХПІ </w:t>
            </w:r>
            <w:r w:rsidR="000F5AA6"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="000F5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:Електричні машини та  електромеханічне перетворення енергії</w:t>
            </w:r>
            <w:r w:rsidR="000F5AA6"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524F4C"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Щоквартального науково-виробничого журналу Електромеханічні  і енергозберігаючі системи </w:t>
            </w:r>
            <w:r w:rsidR="001B5CC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(Кременчуцький НУ Імені Михайла Остроградського).</w:t>
            </w:r>
            <w:bookmarkStart w:id="0" w:name="_GoBack"/>
            <w:bookmarkEnd w:id="0"/>
          </w:p>
          <w:p w:rsidR="00703B3E" w:rsidRPr="00524F4C" w:rsidRDefault="00703B3E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6E5FF5" w:rsidRPr="006E5FF5" w:rsidRDefault="006E5FF5" w:rsidP="006E5FF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E5FF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Секції «Енергетика і енергоефективність» науково-технічної</w:t>
            </w:r>
          </w:p>
          <w:p w:rsidR="00703B3E" w:rsidRPr="00F046FE" w:rsidRDefault="006E5FF5" w:rsidP="006E5FF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E5FF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ради МОН</w:t>
            </w:r>
            <w:r w:rsidR="00F046FE" w:rsidRPr="00F046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</w:t>
            </w:r>
            <w:r w:rsidR="00F046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Наказ №254 МОНУ від 12.03.2016 р.)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мистецьких конкурсів, фестивалів); керівництво студентом, який брав участь в Олімпійських,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Паралімпійських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рівня);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16)наявність статусу учасника бойових дій (для вищих військових навчальних закладів,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24F4C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A95604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(для вищих військових навчальних закладів, військових навчальних підрозділів закладів вищої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03B3E" w:rsidRPr="00A95604" w:rsidRDefault="00A9560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Досвід практичної роботи на посадах інженера  та старшого інженера більше 6-ти років.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5D" w:rsidRDefault="00F03C5D" w:rsidP="0065335E">
      <w:pPr>
        <w:spacing w:after="0" w:line="240" w:lineRule="auto"/>
      </w:pPr>
      <w:r>
        <w:separator/>
      </w:r>
    </w:p>
  </w:endnote>
  <w:endnote w:type="continuationSeparator" w:id="0">
    <w:p w:rsidR="00F03C5D" w:rsidRDefault="00F03C5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5D" w:rsidRDefault="00F03C5D" w:rsidP="0065335E">
      <w:pPr>
        <w:spacing w:after="0" w:line="240" w:lineRule="auto"/>
      </w:pPr>
      <w:r>
        <w:separator/>
      </w:r>
    </w:p>
  </w:footnote>
  <w:footnote w:type="continuationSeparator" w:id="0">
    <w:p w:rsidR="00F03C5D" w:rsidRDefault="00F03C5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E"/>
    <w:rsid w:val="000D1230"/>
    <w:rsid w:val="000F070C"/>
    <w:rsid w:val="000F5AA6"/>
    <w:rsid w:val="00150CDF"/>
    <w:rsid w:val="00186524"/>
    <w:rsid w:val="00190B91"/>
    <w:rsid w:val="001A51DD"/>
    <w:rsid w:val="001B0A0F"/>
    <w:rsid w:val="001B5CC9"/>
    <w:rsid w:val="0022242D"/>
    <w:rsid w:val="0024323C"/>
    <w:rsid w:val="004A085E"/>
    <w:rsid w:val="004A130C"/>
    <w:rsid w:val="004F562B"/>
    <w:rsid w:val="00524F4C"/>
    <w:rsid w:val="00583780"/>
    <w:rsid w:val="00595150"/>
    <w:rsid w:val="005C7699"/>
    <w:rsid w:val="00616124"/>
    <w:rsid w:val="0065335E"/>
    <w:rsid w:val="006C0F76"/>
    <w:rsid w:val="006E5FF5"/>
    <w:rsid w:val="00703B3E"/>
    <w:rsid w:val="007043D3"/>
    <w:rsid w:val="00734692"/>
    <w:rsid w:val="0074175F"/>
    <w:rsid w:val="00776D83"/>
    <w:rsid w:val="00817ACF"/>
    <w:rsid w:val="00855064"/>
    <w:rsid w:val="009110B6"/>
    <w:rsid w:val="0092340D"/>
    <w:rsid w:val="0093579B"/>
    <w:rsid w:val="00984B12"/>
    <w:rsid w:val="009A4D29"/>
    <w:rsid w:val="00A128B1"/>
    <w:rsid w:val="00A81922"/>
    <w:rsid w:val="00A95604"/>
    <w:rsid w:val="00A958B0"/>
    <w:rsid w:val="00BC241E"/>
    <w:rsid w:val="00BE61B9"/>
    <w:rsid w:val="00C50750"/>
    <w:rsid w:val="00C84368"/>
    <w:rsid w:val="00CA27C9"/>
    <w:rsid w:val="00CA5426"/>
    <w:rsid w:val="00D817CD"/>
    <w:rsid w:val="00D85E7F"/>
    <w:rsid w:val="00DC7E63"/>
    <w:rsid w:val="00DE5ADC"/>
    <w:rsid w:val="00E81160"/>
    <w:rsid w:val="00F03C5D"/>
    <w:rsid w:val="00F046FE"/>
    <w:rsid w:val="00F47978"/>
    <w:rsid w:val="00F73316"/>
    <w:rsid w:val="00FC0736"/>
    <w:rsid w:val="00FC0F09"/>
    <w:rsid w:val="00FD01C7"/>
    <w:rsid w:val="00FD27D1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22242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242D"/>
    <w:rPr>
      <w:rFonts w:ascii="Consolas" w:eastAsia="SimSun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22242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242D"/>
    <w:rPr>
      <w:rFonts w:ascii="Consolas" w:eastAsia="SimSu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techned2022.06.0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volodimir_r</cp:lastModifiedBy>
  <cp:revision>34</cp:revision>
  <dcterms:created xsi:type="dcterms:W3CDTF">2021-12-21T09:33:00Z</dcterms:created>
  <dcterms:modified xsi:type="dcterms:W3CDTF">2023-01-23T10:11:00Z</dcterms:modified>
</cp:coreProperties>
</file>