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left" w:tblpY="1201"/>
        <w:tblW w:w="1499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8505"/>
        <w:tblGridChange w:id="0">
          <w:tblGrid>
            <w:gridCol w:w="6487"/>
            <w:gridCol w:w="850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40" w:before="0" w:line="228" w:lineRule="auto"/>
              <w:ind w:left="283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Кафедра інформаційних технологій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40" w:before="0" w:line="228" w:lineRule="auto"/>
              <w:ind w:left="28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Рябчун Юлія Володимирівна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24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Досягнення у професійній діяльності, які зараховуються за останні п’ять років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 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постанови КМУ від 30 грудня 2015 р. № 1187 (в редакції постанови КМУ від 24 березня 2021 р. № 365)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Горда О.В., Рябчун Ю.В. Визначення ройових часток метафоричної оптимізації у когнітивних технологіях будівництва. Міжнародний науково-технічний журнал “Проблеми керування та інформатики”, 2023, № 4, 56-68</w:t>
            </w:r>
            <w:r w:rsidDel="00000000" w:rsidR="00000000" w:rsidRPr="00000000">
              <w:rPr>
                <w:color w:val="000000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SCOPUS</w:t>
            </w:r>
            <w:r w:rsidDel="00000000" w:rsidR="00000000" w:rsidRPr="00000000">
              <w:rPr>
                <w:color w:val="000000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DOI: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https://doi.org/10.34229/1028-0979-2023-6-2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Рябчун Ю.,.Середа Д, Зозуля Н., Поляков М..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white"/>
                  <w:u w:val="none"/>
                  <w:vertAlign w:val="baseline"/>
                  <w:rtl w:val="0"/>
                </w:rPr>
                <w:t xml:space="preserve">Формування інженерних компетентностей випускників вищої освіти галузі знань 13 «Інженерна техніка»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Гірничі, будівельні, дорожні та меліоративні машини, 2022. C. 49-55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(Index Copernicus)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https://doi.org/10.32347/gbdmm.2022.99.0501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Рябчун Ю.В., Скрипак Р.А., Азнауряд І.О., Рябчун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О.В. Застосування нейро-нечітких моделей в системах оцінки професійних здібностей абітурієнтів. Управління розвитком складних систем. – 2021.  № 45. – С. 107 113.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Index Copernicus, міжнародне видання)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DOI: 10.32347/2412-9933.2021.45.107-113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S. Terenchuk, Y. Riabchun, M. Delembovskyi Identification of entrant’s abilities on the basis of Sugeno-type fuzzy inference systems. AVIATION, 2022. Vol. 26 Issue 3, 169-175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(Web of Science,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highlight w:val="white"/>
                <w:rtl w:val="0"/>
              </w:rPr>
              <w:t xml:space="preserve">https://doi.org/10.3846/aviation.2022.17636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Poliakov M. Mezzane Daud, Terenchuk S. Riabchun Y. Rusnak P. Biloshytska S. Gamefication of Youth’s Career Guidance Self-Identification. 2022 IEEE Smart Information Systems and Technologies (SIST) 28-30 April, 2022, Nur-Sultan,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Kazakhstan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(SCOPUS)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https://sist.astanait.edu.kz/wp-content/uploads/2022/04/Conference-program_updated.pdf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  <w:br w:type="textWrapping"/>
              <w:t xml:space="preserve"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Вища математика: Модуль 1 (ЗМ 1, ЗМ 2). Лінійна алгебра та векторний аналіз.    Диференціальне   числення  функції  однієї та багатьох змінних: методичні вказівки  до виконання самостійних та  індивідуальних робіт / уклад.: О.В. Доля, О.В. Забарило, Ю.А. Коротких, Ю.В. Рябчун. – К.:  КНУБА, 2023.– 94 с.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Методичні вказівки до виконання атестаційної випускної роботи освітньо-кваліфікаційного рівня «бакалавр» 122 «Комп’ютерні науки» / уклад.: О.В. Горда. та ін. – Київ: КНУБА, 2024. – 57 с. (ВР КНУБА, грудень 2023)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5)захист дисертації на здобуття наукового ступеня;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Захист дисертації PhD, травень 2021.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Експерт Національного агентства із забезпечення якості вищої освіти за спеціальностями 015, 122, 126 (2019-2022)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50 аудиторних годин на навчальний рік;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19)діяльність за спеціальністю у формі участі у професійних та/або громадських об’єднаннях;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2006-2020 р.- інженер-програміст І кат., кафедра ІТППМ КНУБА 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="Calibri" w:cs="SimSun" w:eastAsia="SimSun" w:hAnsi="Calibri"/>
      <w:sz w:val="22"/>
      <w:szCs w:val="22"/>
      <w:lang w:eastAsia="ru-RU" w:val="uk-UA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Hyperlink"/>
    <w:uiPriority w:val="99"/>
    <w:qFormat w:val="1"/>
    <w:rPr>
      <w:color w:val="0000ff"/>
      <w:u w:val="single"/>
    </w:rPr>
  </w:style>
  <w:style w:type="character" w:styleId="11">
    <w:name w:val="Strong"/>
    <w:uiPriority w:val="22"/>
    <w:qFormat w:val="1"/>
    <w:rPr>
      <w:b w:val="1"/>
      <w:bCs w:val="1"/>
    </w:rPr>
  </w:style>
  <w:style w:type="paragraph" w:styleId="12">
    <w:name w:val="header"/>
    <w:basedOn w:val="1"/>
    <w:link w:val="22"/>
    <w:uiPriority w:val="99"/>
    <w:semiHidden w:val="1"/>
    <w:unhideWhenUsed w:val="1"/>
    <w:qFormat w:val="1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4">
    <w:name w:val="footer"/>
    <w:basedOn w:val="1"/>
    <w:link w:val="23"/>
    <w:uiPriority w:val="99"/>
    <w:semiHidden w:val="1"/>
    <w:unhideWhenUsed w:val="1"/>
    <w:qFormat w:val="1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uiPriority w:val="99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16">
    <w:name w:val="Subtitle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7" w:customStyle="1">
    <w:name w:val="Table Normal"/>
    <w:uiPriority w:val="0"/>
    <w:qFormat w:val="1"/>
  </w:style>
  <w:style w:type="character" w:styleId="18" w:customStyle="1">
    <w:name w:val="rvts82"/>
    <w:basedOn w:val="8"/>
    <w:uiPriority w:val="0"/>
    <w:qFormat w:val="1"/>
  </w:style>
  <w:style w:type="paragraph" w:styleId="19" w:customStyle="1">
    <w:name w:val="Текст1"/>
    <w:basedOn w:val="1"/>
    <w:uiPriority w:val="0"/>
    <w:qFormat w:val="1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20" w:customStyle="1">
    <w:name w:val="bibliographic-information__title"/>
    <w:uiPriority w:val="0"/>
  </w:style>
  <w:style w:type="character" w:styleId="21" w:customStyle="1">
    <w:name w:val="bibliographic-information__value"/>
    <w:uiPriority w:val="0"/>
    <w:qFormat w:val="1"/>
  </w:style>
  <w:style w:type="character" w:styleId="22" w:customStyle="1">
    <w:name w:val="Верхний колонтитул Знак"/>
    <w:basedOn w:val="8"/>
    <w:link w:val="12"/>
    <w:uiPriority w:val="99"/>
    <w:semiHidden w:val="1"/>
    <w:rPr>
      <w:rFonts w:ascii="Calibri" w:cs="SimSun" w:eastAsia="SimSun" w:hAnsi="Calibri"/>
      <w:lang w:eastAsia="ru-RU"/>
    </w:rPr>
  </w:style>
  <w:style w:type="character" w:styleId="23" w:customStyle="1">
    <w:name w:val="Нижний колонтитул Знак"/>
    <w:basedOn w:val="8"/>
    <w:link w:val="14"/>
    <w:uiPriority w:val="99"/>
    <w:semiHidden w:val="1"/>
    <w:qFormat w:val="1"/>
    <w:rPr>
      <w:rFonts w:ascii="Calibri" w:cs="SimSun" w:eastAsia="SimSun" w:hAnsi="Calibri"/>
      <w:lang w:eastAsia="ru-RU"/>
    </w:rPr>
  </w:style>
  <w:style w:type="paragraph" w:styleId="24" w:customStyle="1">
    <w:name w:val="Нормальний текст"/>
    <w:basedOn w:val="1"/>
    <w:uiPriority w:val="0"/>
    <w:qFormat w:val="1"/>
    <w:pPr>
      <w:spacing w:after="0" w:before="120" w:line="240" w:lineRule="auto"/>
      <w:ind w:firstLine="567"/>
    </w:pPr>
    <w:rPr>
      <w:rFonts w:ascii="Antiqua" w:cs="Times New Roman" w:eastAsia="Times New Roman" w:hAnsi="Antiqua"/>
      <w:sz w:val="26"/>
      <w:szCs w:val="20"/>
      <w:lang w:val="uk-UA"/>
    </w:rPr>
  </w:style>
  <w:style w:type="paragraph" w:styleId="25" w:customStyle="1">
    <w:name w:val="Shapka Documentu"/>
    <w:basedOn w:val="1"/>
    <w:uiPriority w:val="0"/>
    <w:qFormat w:val="1"/>
    <w:pPr>
      <w:keepNext w:val="1"/>
      <w:keepLines w:val="1"/>
      <w:spacing w:after="240" w:line="240" w:lineRule="auto"/>
      <w:ind w:left="3969"/>
      <w:jc w:val="center"/>
    </w:pPr>
    <w:rPr>
      <w:rFonts w:ascii="Antiqua" w:cs="Times New Roman" w:eastAsia="Times New Roman" w:hAnsi="Antiqua"/>
      <w:sz w:val="26"/>
      <w:szCs w:val="20"/>
      <w:lang w:val="uk-UA"/>
    </w:rPr>
  </w:style>
  <w:style w:type="table" w:styleId="26" w:customStyle="1">
    <w:name w:val="_Style 26"/>
    <w:basedOn w:val="17"/>
    <w:uiPriority w:val="0"/>
    <w:tblPr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st.astanait.edu.kz/wp-content/uploads/2022/04/Conference-program_updated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34229/1028-0979-2023-6-2" TargetMode="External"/><Relationship Id="rId8" Type="http://schemas.openxmlformats.org/officeDocument/2006/relationships/hyperlink" Target="https://scholar.google.com.ua/scholar?oi=bibs&amp;cluster=634052504538023788&amp;btnI=1&amp;hl=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ErksUt5yQkzZUXQ/aoWlHdyQOw==">CgMxLjAyCGguZ2pkZ3hzMgloLjMwajB6bGw4AHIhMUg1VmpJY3RLMWY3RTh4alplUllITjZRcHBuMHZDSlVC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2021-04-23T09:46:00Z</dcterms:created>
  <dc:creator>Natase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CF6C94C6A31D44398F7EE827CEDF9AF7</vt:lpwstr>
  </property>
  <property fmtid="{D5CDD505-2E9C-101B-9397-08002B2CF9AE}" pid="4" name="KSOProductBuildVer">
    <vt:lpwstr>1049-11.2.0.11341</vt:lpwstr>
  </property>
  <property fmtid="{D5CDD505-2E9C-101B-9397-08002B2CF9AE}" pid="5" name="ICV">
    <vt:lpwstr>CF6C94C6A31D44398F7EE827CEDF9AF7</vt:lpwstr>
  </property>
</Properties>
</file>