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201"/>
        <w:tblW w:w="149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21"/>
        <w:gridCol w:w="8471"/>
        <w:tblGridChange w:id="0">
          <w:tblGrid>
            <w:gridCol w:w="6521"/>
            <w:gridCol w:w="8471"/>
          </w:tblGrid>
        </w:tblGridChange>
      </w:tblGrid>
      <w:tr>
        <w:trPr>
          <w:cantSplit w:val="0"/>
          <w:trHeight w:val="144" w:hRule="atLeast"/>
          <w:tblHeader w:val="0"/>
        </w:trPr>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Кафедра інформаційних технологій</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ПІБ викладача Долгополов Сергій Юрійович</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Посада Асистент</w:t>
            </w:r>
            <w:r w:rsidDel="00000000" w:rsidR="00000000" w:rsidRPr="00000000">
              <w:rPr>
                <w:rtl w:val="0"/>
              </w:rPr>
            </w:r>
          </w:p>
        </w:tc>
      </w:tr>
      <w:tr>
        <w:trPr>
          <w:cantSplit w:val="0"/>
          <w:trHeight w:val="652" w:hRule="atLeast"/>
          <w:tblHeader w:val="0"/>
        </w:trPr>
        <w:tc>
          <w:tcPr>
            <w:gridSpan w:val="2"/>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28"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Досягнення у професійній діяльності, які зараховуються за останні п’ять років</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Пункт 38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постанови КМУ від 30 грудня 2015 р. № 1187 (в редакції постанови КМУ від 24 березня 2021 р. № 365)</w:t>
            </w:r>
            <w:r w:rsidDel="00000000" w:rsidR="00000000" w:rsidRPr="00000000">
              <w:rPr>
                <w:rtl w:val="0"/>
              </w:rPr>
            </w:r>
          </w:p>
        </w:tc>
      </w:tr>
      <w:tr>
        <w:trPr>
          <w:cantSplit w:val="0"/>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не менше п’яти публікацій у періодичних наукових виданнях, що включені до переліку фахових видань України, до наукометричних баз, зокрема Scopus, Web of Science Core Collection;</w:t>
            </w:r>
          </w:p>
        </w:tc>
        <w:tc>
          <w:tcPr/>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Dolhopolov, S., Honcharenko, T., Savenko, V., Balina, O., Bezklubenko, I., Liashchenko, T. Construction Site Modeling Objects Using Artificial Intelligence and BIM Technology: A Multi-Stage Approach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SIST 2023 - 2023 IEEE International Conference on Smart Information Systems and Technologies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Proceedings, pp. 174-179. DOI: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https://doi.org/10.1109/SIST58284.2023.10223543</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Chernyshev, D., Dolhopolov, S., Honcharenko, T., Haman, H., Ivanova, T., Zinchenko, M. Integration of Building Information Modeling and Artificial Intelligence Systems to Create a Digital Twin of the Construction Site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Scientific and Technical Conference on Computer Sciences and Information Technologies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2022-November, pp. 36-39. DOI: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https://doi.org/10.1109/CSIT56902.2022.10000717</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Chernyshev, D., Dolhopolov, S., Honcharenko, T., Sapaiev, V., Delembovskyi, M. Digital Object Detection of Construction Site Based on Building Information Modeling and Artificial Intelligence Systems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CEUR Workshop Proceedings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3309, pp. 271-278. URL: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https://www.scopus.com/inward/record.uri?eid=2-s2.0-85145603293&amp;partnerID=40&amp;md5=63b088a2cbd4060dc33cfc684b808667</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Dolhopolov, S., Honcharenko, T., Dolhopolova, S.A., Riabchun, O., Delembovskyi, M., Omelianenko, O. Use of Artificial Intelligence Systems for Determining the Career Guidance of Future University Student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SIST 2022 - 2022 International Conference on Smart Information Systems and Technologies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pp 1-6. DOI: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https://doi.org/10.1109/SIST54437.2022.9945752</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Dolhopolov S., Honcharenko T., Terentyev O. Multi-stage classification of construction site modeling objects using artificial intelligence based on BIM technology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II International Conference of Emerging Technology Trends on the Smart Industry and The Internet of Things (TTSIIT), Proceedings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Appear </w:t>
            </w:r>
            <w:r w:rsidDel="00000000" w:rsidR="00000000" w:rsidRPr="00000000">
              <w:rPr>
                <w:rFonts w:ascii="Roboto" w:cs="Roboto" w:eastAsia="Roboto" w:hAnsi="Roboto"/>
                <w:i w:val="1"/>
                <w:color w:val="555555"/>
                <w:sz w:val="21"/>
                <w:szCs w:val="21"/>
                <w:highlight w:val="white"/>
                <w:rtl w:val="0"/>
              </w:rPr>
              <w:t xml:space="preserve">DOI: </w:t>
            </w:r>
            <w:hyperlink r:id="rId11">
              <w:r w:rsidDel="00000000" w:rsidR="00000000" w:rsidRPr="00000000">
                <w:rPr>
                  <w:rFonts w:ascii="Roboto" w:cs="Roboto" w:eastAsia="Roboto" w:hAnsi="Roboto"/>
                  <w:i w:val="1"/>
                  <w:color w:val="1155cc"/>
                  <w:sz w:val="21"/>
                  <w:szCs w:val="21"/>
                  <w:highlight w:val="white"/>
                  <w:u w:val="single"/>
                  <w:rtl w:val="0"/>
                </w:rPr>
                <w:t xml:space="preserve">10.1088/1755-1315/1254/1/012075</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Dolhopolov S., Honcharenko T., Terentyev O., Predun K., Rosynskyi A. Information system of multi-stage analysis of the building of object models on a construction site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4th International Conference on Sustainable Futures: environmental, technological, social and economic matters (ICSF 2023), Proceedings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Appear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i w:val="1"/>
                <w:color w:val="333333"/>
                <w:sz w:val="21"/>
                <w:szCs w:val="21"/>
                <w:rtl w:val="0"/>
              </w:rPr>
              <w:t xml:space="preserve">DOI 10.1088/1755-1315/1254/1/012075</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одного патенту на винахід або п’яти деклараційних патентів на винахід чи корисну модель, включаючи секретні, або наявність не менше п’яти свідоцтв про реєстрацію авторського права на твір;</w:t>
            </w:r>
          </w:p>
        </w:tc>
        <w:tc>
          <w:tcPr/>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виданого підручника чи навчального посібника (включаючи електронні) або монографії (загальним обсягом не менше </w:t>
              <w:br w:type="textWrapping"/>
              <w:t xml:space="preserve">5 авторських аркушів), в тому числі видані у співавторстві (обсягом не менше 1,5 авторського аркуша на кожного співавтора);</w:t>
            </w:r>
          </w:p>
        </w:tc>
        <w:tc>
          <w:tcPr/>
          <w:p w:rsidR="00000000" w:rsidDel="00000000" w:rsidP="00000000" w:rsidRDefault="00000000" w:rsidRPr="00000000" w14:paraId="0000001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p w:rsidR="00000000" w:rsidDel="00000000" w:rsidP="00000000" w:rsidRDefault="00000000" w:rsidRPr="00000000" w14:paraId="0000001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захист дисертації на здобуття наукового ступеня;</w:t>
            </w:r>
          </w:p>
        </w:tc>
        <w:tc>
          <w:tcPr/>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наукове керівництво (консультування) здобувача, який одержав документ про присудження наукового ступеня;</w:t>
            </w:r>
          </w:p>
        </w:tc>
        <w:tc>
          <w:tcPr/>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участь в атестації наукових кадрів як офіційного опонента або члена постійної спеціалізованої вченої ради, або члена не менше трьох разових спеціалізованих вчених рад;</w:t>
            </w:r>
          </w:p>
        </w:tc>
        <w:tc>
          <w:tcPr/>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p w:rsidR="00000000" w:rsidDel="00000000" w:rsidP="00000000" w:rsidRDefault="00000000" w:rsidRPr="00000000" w14:paraId="0000001E">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Antiqua" w:cs="Antiqua" w:eastAsia="Antiqua" w:hAnsi="Antiqua"/>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передвищої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p w:rsidR="00000000" w:rsidDel="00000000" w:rsidP="00000000" w:rsidRDefault="00000000" w:rsidRPr="00000000" w14:paraId="00000020">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Експерт Національного агентства із забезпечення якості вищої освіти за спеціальностями 015, 125.</w:t>
            </w:r>
          </w:p>
        </w:tc>
      </w:tr>
      <w:tr>
        <w:trPr>
          <w:cantSplit w:val="0"/>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участь у міжнародних наукових та/або освітніх проектах, залучення до міжнародної експертизи, наявність звання “суддя міжнародної категорії”;</w:t>
            </w:r>
          </w:p>
        </w:tc>
        <w:tc>
          <w:tcPr/>
          <w:p w:rsidR="00000000" w:rsidDel="00000000" w:rsidP="00000000" w:rsidRDefault="00000000" w:rsidRPr="00000000" w14:paraId="00000022">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p w:rsidR="00000000" w:rsidDel="00000000" w:rsidP="00000000" w:rsidRDefault="00000000" w:rsidRPr="00000000" w14:paraId="0000002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Консультант </w:t>
            </w:r>
            <w:r w:rsidDel="00000000" w:rsidR="00000000" w:rsidRPr="00000000">
              <w:rPr>
                <w:rFonts w:ascii="Times New Roman" w:cs="Times New Roman" w:eastAsia="Times New Roman" w:hAnsi="Times New Roman"/>
                <w:highlight w:val="white"/>
                <w:rtl w:val="0"/>
              </w:rPr>
              <w:t xml:space="preserve">“Сігма Софтвеф” </w:t>
            </w:r>
            <w:r w:rsidDel="00000000" w:rsidR="00000000" w:rsidRPr="00000000">
              <w:rPr>
                <w:rFonts w:ascii="Times New Roman" w:cs="Times New Roman" w:eastAsia="Times New Roman" w:hAnsi="Times New Roman"/>
                <w:sz w:val="24"/>
                <w:szCs w:val="24"/>
                <w:highlight w:val="white"/>
                <w:rtl w:val="0"/>
              </w:rPr>
              <w:t xml:space="preserve"> на громадських засадах </w:t>
            </w:r>
            <w:r w:rsidDel="00000000" w:rsidR="00000000" w:rsidRPr="00000000">
              <w:rPr>
                <w:rFonts w:ascii="Times New Roman" w:cs="Times New Roman" w:eastAsia="Times New Roman" w:hAnsi="Times New Roman"/>
                <w:highlight w:val="white"/>
                <w:rtl w:val="0"/>
              </w:rPr>
              <w:t xml:space="preserve">(з грудня 2023 року)</w:t>
            </w: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наявність апробаційних та/або науково-популярних, та/або консультаційних (дорадчих), та/або науково-експертних публікацій з наукової або професійної тематики загальною кількістю не менше п’яти публікацій;</w:t>
            </w:r>
          </w:p>
        </w:tc>
        <w:tc>
          <w:tcPr/>
          <w:p w:rsidR="00000000" w:rsidDel="00000000" w:rsidP="00000000" w:rsidRDefault="00000000" w:rsidRPr="00000000" w14:paraId="00000026">
            <w:pPr>
              <w:shd w:fill="ffffff" w:val="clear"/>
              <w:spacing w:after="22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 Dolhopolov, T. Honcharenko, V. Savenko, O. Balina, I. Bezklubenko, T. Liashchenko, Construction Site Modeling Objects Using Artificial Intelligence and BIM Technology: A Multi-Stage Approach, 2023 IEEE International Conference on Smart Information Systems and Technologies (SIST), 2023, рр. 174-179, </w:t>
            </w:r>
            <w:hyperlink r:id="rId12">
              <w:r w:rsidDel="00000000" w:rsidR="00000000" w:rsidRPr="00000000">
                <w:rPr>
                  <w:rFonts w:ascii="Times New Roman" w:cs="Times New Roman" w:eastAsia="Times New Roman" w:hAnsi="Times New Roman"/>
                  <w:sz w:val="24"/>
                  <w:szCs w:val="24"/>
                  <w:rtl w:val="0"/>
                </w:rPr>
                <w:t xml:space="preserve">https://ieeexplore.ieee.org/abstract/document/10223543</w:t>
              </w:r>
            </w:hyperlink>
            <w:r w:rsidDel="00000000" w:rsidR="00000000" w:rsidRPr="00000000">
              <w:rPr>
                <w:rFonts w:ascii="Times New Roman" w:cs="Times New Roman" w:eastAsia="Times New Roman" w:hAnsi="Times New Roman"/>
                <w:sz w:val="24"/>
                <w:szCs w:val="24"/>
                <w:rtl w:val="0"/>
              </w:rPr>
              <w:t xml:space="preserve"> (SCOPUS)</w:t>
            </w:r>
          </w:p>
          <w:p w:rsidR="00000000" w:rsidDel="00000000" w:rsidP="00000000" w:rsidRDefault="00000000" w:rsidRPr="00000000" w14:paraId="00000027">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w:t>
            </w:r>
            <w:r w:rsidDel="00000000" w:rsidR="00000000" w:rsidRPr="00000000">
              <w:rPr>
                <w:rFonts w:ascii="Times New Roman" w:cs="Times New Roman" w:eastAsia="Times New Roman" w:hAnsi="Times New Roman"/>
                <w:color w:val="222222"/>
                <w:sz w:val="24"/>
                <w:szCs w:val="24"/>
                <w:highlight w:val="white"/>
                <w:rtl w:val="0"/>
              </w:rPr>
              <w:t xml:space="preserve">S. Dolhopolov, S., Honcharenko T., Terentyev O., Predun K. and Rosynskyi A. Information system of multi-stage analysis of the building of object models on a construction site, IOP Conference Series: Earth and Environmental Science, 1254 (2023) 012075 doi:10.1088/1755-1315/1254/1/012075, </w:t>
            </w:r>
          </w:p>
          <w:p w:rsidR="00000000" w:rsidDel="00000000" w:rsidP="00000000" w:rsidRDefault="00000000" w:rsidRPr="00000000" w14:paraId="00000028">
            <w:pPr>
              <w:keepNext w:val="1"/>
              <w:spacing w:after="0" w:line="240" w:lineRule="auto"/>
              <w:jc w:val="both"/>
              <w:rPr>
                <w:rFonts w:ascii="Times New Roman" w:cs="Times New Roman" w:eastAsia="Times New Roman" w:hAnsi="Times New Roman"/>
                <w:color w:val="222222"/>
                <w:sz w:val="24"/>
                <w:szCs w:val="24"/>
                <w:highlight w:val="white"/>
              </w:rPr>
            </w:pPr>
            <w:hyperlink r:id="rId13">
              <w:r w:rsidDel="00000000" w:rsidR="00000000" w:rsidRPr="00000000">
                <w:rPr>
                  <w:rFonts w:ascii="Times New Roman" w:cs="Times New Roman" w:eastAsia="Times New Roman" w:hAnsi="Times New Roman"/>
                  <w:color w:val="0000ff"/>
                  <w:sz w:val="24"/>
                  <w:szCs w:val="24"/>
                  <w:highlight w:val="white"/>
                  <w:u w:val="single"/>
                  <w:rtl w:val="0"/>
                </w:rPr>
                <w:t xml:space="preserve">https://iopscience.iop.org/article/10.1088/1755-1315/1254/1/012075/pdf</w:t>
              </w:r>
            </w:hyperlink>
            <w:r w:rsidDel="00000000" w:rsidR="00000000" w:rsidRPr="00000000">
              <w:rPr>
                <w:rFonts w:ascii="Times New Roman" w:cs="Times New Roman" w:eastAsia="Times New Roman" w:hAnsi="Times New Roman"/>
                <w:color w:val="222222"/>
                <w:sz w:val="24"/>
                <w:szCs w:val="24"/>
                <w:rtl w:val="0"/>
              </w:rPr>
              <w:br w:type="textWrapping"/>
              <w:t xml:space="preserve">3. </w:t>
            </w:r>
            <w:r w:rsidDel="00000000" w:rsidR="00000000" w:rsidRPr="00000000">
              <w:rPr>
                <w:rFonts w:ascii="Times New Roman" w:cs="Times New Roman" w:eastAsia="Times New Roman" w:hAnsi="Times New Roman"/>
                <w:color w:val="222222"/>
                <w:sz w:val="24"/>
                <w:szCs w:val="24"/>
                <w:highlight w:val="white"/>
                <w:rtl w:val="0"/>
              </w:rPr>
              <w:t xml:space="preserve">Y. Khlaponin, S. Dolhopolov, Legislative support for the protection of critical infrastructure from cyberattacks of Ukraine, The II International Scientific and Practical Conference «Education, Law and Public Administration – New Development Trends» (ELPA–NDT), Kyiv, Ukraine, 2023, pp. 8-11. </w:t>
            </w:r>
          </w:p>
          <w:p w:rsidR="00000000" w:rsidDel="00000000" w:rsidP="00000000" w:rsidRDefault="00000000" w:rsidRPr="00000000" w14:paraId="00000029">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URL: </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https://cutt.ly/twU3957h</w:t>
              </w:r>
            </w:hyperlink>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Serhii Dolhopolov. Deep Learning Algorithms for Real-Time Threat Detection. Міжнародна науково-практична конференція «Буд-майстер-клас» КНУБА, координація секції  №7 Інформаційні технології, 29.11-02.12.2023.</w:t>
            </w:r>
          </w:p>
          <w:p w:rsidR="00000000" w:rsidDel="00000000" w:rsidP="00000000" w:rsidRDefault="00000000" w:rsidRPr="00000000" w14:paraId="0000002B">
            <w:pPr>
              <w:shd w:fill="ffffff" w:val="clear"/>
              <w:spacing w:after="220" w:line="24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D. Chernyshev, S. Dolhopolov, T. Honcharenko, V. Sapaiev and M. Delembovskyi.  “Digital Object Detection of Construction Site Based on Building Information Modeling and Artificial Intelligence Systems”, CEUR Workshop Proceedings, 2022, 3039, стр. 267–279, 1st International Workshop on Information Technologies: Theoretical and Applied Problems, ITTAP 2022,  </w:t>
            </w:r>
            <w:hyperlink r:id="rId15">
              <w:r w:rsidDel="00000000" w:rsidR="00000000" w:rsidRPr="00000000">
                <w:rPr>
                  <w:rFonts w:ascii="Times New Roman" w:cs="Times New Roman" w:eastAsia="Times New Roman" w:hAnsi="Times New Roman"/>
                  <w:sz w:val="24"/>
                  <w:szCs w:val="24"/>
                  <w:highlight w:val="white"/>
                  <w:rtl w:val="0"/>
                </w:rPr>
                <w:t xml:space="preserve">http://ceur-ws.org/Vol-3039/paper16.pdf</w:t>
              </w:r>
            </w:hyperlink>
            <w:r w:rsidDel="00000000" w:rsidR="00000000" w:rsidRPr="00000000">
              <w:rPr>
                <w:rFonts w:ascii="Times New Roman" w:cs="Times New Roman" w:eastAsia="Times New Roman" w:hAnsi="Times New Roman"/>
                <w:sz w:val="24"/>
                <w:szCs w:val="24"/>
                <w:highlight w:val="white"/>
                <w:rtl w:val="0"/>
              </w:rPr>
              <w:t xml:space="preserve">   (SCOPUS)</w:t>
            </w:r>
            <w:r w:rsidDel="00000000" w:rsidR="00000000" w:rsidRPr="00000000">
              <w:rPr>
                <w:rtl w:val="0"/>
              </w:rPr>
            </w:r>
          </w:p>
        </w:tc>
      </w:tr>
      <w:tr>
        <w:trPr>
          <w:cantSplit w:val="0"/>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проведення навчальних занять із спеціальних дисциплін іноземною мовою (крім дисциплін мовної підготовки) в обсязі не менше </w:t>
              <w:br w:type="textWrapping"/>
              <w:t xml:space="preserve">50 аудиторних годин на навчальний рік;</w:t>
            </w:r>
          </w:p>
        </w:tc>
        <w:tc>
          <w:tcPr/>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(освітньо-творчому)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Студент Долгополов С. Ю. з роботою «Оптимізація відбору фахівців за допомогою поєднання штучного інтелекту та професійної орієнтації учнів» здобув перемогу (І місце) в першому етапі Всеукраїнського конкурсу студентських наукових робіт зі спеціальності «Професійна освіта» на базі КНУБА – 2023 рік.</w:t>
            </w:r>
          </w:p>
          <w:p w:rsidR="00000000" w:rsidDel="00000000" w:rsidP="00000000" w:rsidRDefault="00000000" w:rsidRPr="00000000" w14:paraId="00000030">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Студент Долгополов С. Ю. з роботою «Використання штучного інтелекту для багатозначної класифікації професійних напрямків діяльності при проведенні професійної орієнтації учнів загальної середньої освіти» здобув перемогу (І місце) в першому етапі Всеукраїнського конкурсу студентських наукових робіт зі спеціальності «Інформаційні системи і технології» на базі КНУБА. Робота відправлена на другий етап конкурсу, що проводиться на базі Хмельницького національного університету – 2022 рік.</w:t>
            </w:r>
          </w:p>
          <w:p w:rsidR="00000000" w:rsidDel="00000000" w:rsidP="00000000" w:rsidRDefault="00000000" w:rsidRPr="00000000" w14:paraId="00000031">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Студент Долгополов С. Ю. з роботою «Діагностика впливу інноваційної технології Virtual Reality на емоційний стан та поведінку студентів за допомогою впровадження технології штучного емоційного інтелекту» здобув перемогу (І місце) в першому етапі Всеукраїнського конкурсу студентських наукових робіт зі спеціальності «Професійна освіта» на базі КНУБА та в другому етапі (І місце), що проводився на базі Української інженерно-педагогічної академії (м. Харків) – 2021 рік.</w:t>
            </w:r>
          </w:p>
          <w:p w:rsidR="00000000" w:rsidDel="00000000" w:rsidP="00000000" w:rsidRDefault="00000000" w:rsidRPr="00000000" w14:paraId="00000032">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Студент Долгополов С. Ю. з роботою «Використання штучного емоційного інтелекту для діагностики розвитку пізнавальних процесів у процесі дистанційної навчальної діяльності студентів» здобув перемогу (І місце) в першому етапі Всеукраїнського конкурсу студентських наукових робіт зі спеціальності «Педагогічна та вікова психологія» на базі КНУБА та в другому етапі (ІІІ місце), що проводився на базі Державного закладу «Південноукраїнський національний педагогічний університет імені К. Д. Ушинського» (м. Одеса) – 2021 рік.</w:t>
            </w:r>
          </w:p>
          <w:p w:rsidR="00000000" w:rsidDel="00000000" w:rsidP="00000000" w:rsidRDefault="00000000" w:rsidRPr="00000000" w14:paraId="00000033">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3. Студент Долгополов С. Ю. з роботою «Діагностика впливу інноваційної технології Virtual Reality на емоційний стан та поведінку учасників малих соціальних груп за допомогою використання штучного емоційного інтелекту» здобув перемогу (І місце) в першому етапі Всеукраїнського конкурсу студентських наукових робіт зі спеціальності «Загальна та соціальна психологія» на базі КНУБА. Робота відправлена на другий етап конкурсу, що проводиться на базі Херсонського державного університету – 2021 рік</w:t>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4. Студент Долгополов С. Ю. з роботою «Діагностика впливу інноваційної технології Virtual Reality на емоційний стан та поведінку учнів та студентів за допомогою впровадження інформаційно-комунікаційної технології штучного емоційного інтелекту» здобув перемогу (І місце) в першому етапі Всеукраїнського конкурсу студентських наукових робіт зі спеціальності «Інформаційно-комунікаційні технології в освіті» на базі КНУБА. Робота відправлена на другий етап конкурсу, що проводиться на базі Мелітопольського державного педагогічного університету імені Богдана Хмельницького – 2021 рік.</w:t>
            </w:r>
          </w:p>
          <w:p w:rsidR="00000000" w:rsidDel="00000000" w:rsidP="00000000" w:rsidRDefault="00000000" w:rsidRPr="00000000" w14:paraId="00000035">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 Студент Долгополов С.Ю. з роботою «Використання штучного емоційного інтелекту для діагностики впливу інноваційної технології Virtual Reality на емоційний та поведінковий стани учнів та студентів» здобув перемогу (І місце) в першому етапі Всеукраїнського конкурсу студентських наукових робіт зі спеціальності «Педагогічна та вікова психологія» на базі КНУБА та в другому етапі (І місце), що проводився на базі Державного закладу «Південноукраїнський національний педагогічний університет імені К. Д. Ушинського» (м. Одеса) – 2020 рік.</w:t>
            </w:r>
          </w:p>
          <w:p w:rsidR="00000000" w:rsidDel="00000000" w:rsidP="00000000" w:rsidRDefault="00000000" w:rsidRPr="00000000" w14:paraId="00000036">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6. Студент Долгополов С.Ю. з роботою «Інноваційність використання технології глибокого навчання у контрольно-вимірювальному приладі будівельного спрямування «Builder of the Future» здобув перемогу (І місце) в першому етапі Всеукраїнського конкурсу студентських наукових робіт зі спеціальності «Інформаційні системи та технології» на базі КНУБА та в другому етапі (ІII місце), що проводився на базі Хмельницького національного університету (м. Хмельницький) – 2020 рік.</w:t>
            </w:r>
          </w:p>
        </w:tc>
      </w:tr>
      <w:tr>
        <w:trPr>
          <w:cantSplit w:val="0"/>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(освітньо-наукового/освітньо-творчого) рівня);</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p w:rsidR="00000000" w:rsidDel="00000000" w:rsidP="00000000" w:rsidRDefault="00000000" w:rsidRPr="00000000" w14:paraId="0000003C">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участь у міжнародних військових навчаннях (тренуваннях) за участю збройних сил країн — членів НАТО(для вищих військових навчальних закладів, військових навчальних підрозділів закладів вищої освіти);</w:t>
            </w:r>
          </w:p>
        </w:tc>
        <w:tc>
          <w:tcPr/>
          <w:p w:rsidR="00000000" w:rsidDel="00000000" w:rsidP="00000000" w:rsidRDefault="00000000" w:rsidRPr="00000000" w14:paraId="0000003E">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діяльність за спеціальністю у формі участі у професійних та/або громадських об’єднаннях;</w:t>
            </w:r>
          </w:p>
        </w:tc>
        <w:tc>
          <w:tcPr/>
          <w:p w:rsidR="00000000" w:rsidDel="00000000" w:rsidP="00000000" w:rsidRDefault="00000000" w:rsidRPr="00000000" w14:paraId="00000040">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1. Участь у форумі «Ялтинська Європейська Стратегія» (YES) у складі команди організаторів-волонтерів від фонду Віктора Пінчука – 2023.</w:t>
            </w:r>
          </w:p>
          <w:p w:rsidR="00000000" w:rsidDel="00000000" w:rsidP="00000000" w:rsidRDefault="00000000" w:rsidRPr="00000000" w14:paraId="00000041">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2. Організація благодійних студентських турнірів в межах студентського осередку «KNUCA HUB», в тому числі у співробітництві з Федерацією кіберспорту України та Міністерством молоді та спорту України – з 2019 року по тепер. </w:t>
            </w:r>
          </w:p>
        </w:tc>
      </w:tr>
      <w:tr>
        <w:trPr>
          <w:cantSplit w:val="0"/>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28"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досвід практичної роботи за спеціальністю не менше п’яти років (крім педагогічної, науково-педагогічної, наукової діяльності).</w:t>
            </w:r>
          </w:p>
        </w:tc>
        <w:tc>
          <w:tcPr/>
          <w:p w:rsidR="00000000" w:rsidDel="00000000" w:rsidP="00000000" w:rsidRDefault="00000000" w:rsidRPr="00000000" w14:paraId="00000043">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tc>
      </w:tr>
    </w:tbl>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sectPr>
      <w:pgSz w:h="11906" w:w="16838" w:orient="landscape"/>
      <w:pgMar w:bottom="851" w:top="170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ntiqu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5335E"/>
    <w:pPr>
      <w:spacing w:after="200" w:line="276" w:lineRule="auto"/>
    </w:pPr>
    <w:rPr>
      <w:rFonts w:cs="Calibri" w:eastAsia="SimSun"/>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rvts82" w:customStyle="1">
    <w:name w:val="rvts82"/>
    <w:basedOn w:val="a0"/>
    <w:uiPriority w:val="99"/>
    <w:rsid w:val="0065335E"/>
  </w:style>
  <w:style w:type="character" w:styleId="a3">
    <w:name w:val="Hyperlink"/>
    <w:basedOn w:val="a0"/>
    <w:uiPriority w:val="99"/>
    <w:rsid w:val="0065335E"/>
    <w:rPr>
      <w:color w:val="0000ff"/>
      <w:u w:val="single"/>
    </w:rPr>
  </w:style>
  <w:style w:type="paragraph" w:styleId="1" w:customStyle="1">
    <w:name w:val="Текст1"/>
    <w:basedOn w:val="a"/>
    <w:uiPriority w:val="99"/>
    <w:rsid w:val="0065335E"/>
    <w:pPr>
      <w:overflowPunct w:val="0"/>
      <w:autoSpaceDE w:val="0"/>
      <w:autoSpaceDN w:val="0"/>
      <w:adjustRightInd w:val="0"/>
      <w:spacing w:after="0" w:line="240" w:lineRule="auto"/>
      <w:ind w:left="-142" w:right="-101" w:firstLine="142"/>
      <w:jc w:val="center"/>
      <w:textAlignment w:val="baseline"/>
    </w:pPr>
    <w:rPr>
      <w:rFonts w:ascii="Times New Roman" w:cs="Times New Roman" w:eastAsia="Times New Roman" w:hAnsi="Times New Roman"/>
      <w:sz w:val="20"/>
      <w:szCs w:val="20"/>
      <w:lang w:val="en-US"/>
    </w:rPr>
  </w:style>
  <w:style w:type="character" w:styleId="a4">
    <w:name w:val="Strong"/>
    <w:basedOn w:val="a0"/>
    <w:uiPriority w:val="99"/>
    <w:qFormat w:val="1"/>
    <w:rsid w:val="0065335E"/>
    <w:rPr>
      <w:b w:val="1"/>
      <w:bCs w:val="1"/>
    </w:rPr>
  </w:style>
  <w:style w:type="character" w:styleId="bibliographic-informationtitle" w:customStyle="1">
    <w:name w:val="bibliographic-information__title"/>
    <w:uiPriority w:val="99"/>
    <w:rsid w:val="0065335E"/>
  </w:style>
  <w:style w:type="character" w:styleId="bibliographic-informationvalue" w:customStyle="1">
    <w:name w:val="bibliographic-information__value"/>
    <w:uiPriority w:val="99"/>
    <w:rsid w:val="0065335E"/>
  </w:style>
  <w:style w:type="paragraph" w:styleId="a5">
    <w:name w:val="header"/>
    <w:basedOn w:val="a"/>
    <w:link w:val="a6"/>
    <w:uiPriority w:val="99"/>
    <w:semiHidden w:val="1"/>
    <w:rsid w:val="0065335E"/>
    <w:pPr>
      <w:tabs>
        <w:tab w:val="center" w:pos="4677"/>
        <w:tab w:val="right" w:pos="9355"/>
      </w:tabs>
      <w:spacing w:after="0" w:line="240" w:lineRule="auto"/>
    </w:pPr>
  </w:style>
  <w:style w:type="character" w:styleId="a6" w:customStyle="1">
    <w:name w:val="Верхній колонтитул Знак"/>
    <w:basedOn w:val="a0"/>
    <w:link w:val="a5"/>
    <w:uiPriority w:val="99"/>
    <w:semiHidden w:val="1"/>
    <w:locked w:val="1"/>
    <w:rsid w:val="0065335E"/>
    <w:rPr>
      <w:rFonts w:ascii="Calibri" w:cs="Calibri" w:eastAsia="SimSun" w:hAnsi="Calibri"/>
      <w:lang w:eastAsia="ru-RU"/>
    </w:rPr>
  </w:style>
  <w:style w:type="paragraph" w:styleId="a7">
    <w:name w:val="footer"/>
    <w:basedOn w:val="a"/>
    <w:link w:val="a8"/>
    <w:uiPriority w:val="99"/>
    <w:semiHidden w:val="1"/>
    <w:rsid w:val="0065335E"/>
    <w:pPr>
      <w:tabs>
        <w:tab w:val="center" w:pos="4677"/>
        <w:tab w:val="right" w:pos="9355"/>
      </w:tabs>
      <w:spacing w:after="0" w:line="240" w:lineRule="auto"/>
    </w:pPr>
  </w:style>
  <w:style w:type="character" w:styleId="a8" w:customStyle="1">
    <w:name w:val="Нижній колонтитул Знак"/>
    <w:basedOn w:val="a0"/>
    <w:link w:val="a7"/>
    <w:uiPriority w:val="99"/>
    <w:semiHidden w:val="1"/>
    <w:locked w:val="1"/>
    <w:rsid w:val="0065335E"/>
    <w:rPr>
      <w:rFonts w:ascii="Calibri" w:cs="Calibri" w:eastAsia="SimSun" w:hAnsi="Calibri"/>
      <w:lang w:eastAsia="ru-RU"/>
    </w:rPr>
  </w:style>
  <w:style w:type="paragraph" w:styleId="a9" w:customStyle="1">
    <w:name w:val="Нормальний текст"/>
    <w:basedOn w:val="a"/>
    <w:uiPriority w:val="99"/>
    <w:rsid w:val="0065335E"/>
    <w:pPr>
      <w:spacing w:after="0" w:before="120" w:line="240" w:lineRule="auto"/>
      <w:ind w:firstLine="567"/>
    </w:pPr>
    <w:rPr>
      <w:rFonts w:ascii="Antiqua" w:cs="Antiqua" w:eastAsia="Times New Roman" w:hAnsi="Antiqua"/>
      <w:sz w:val="26"/>
      <w:szCs w:val="26"/>
      <w:lang w:val="uk-UA"/>
    </w:rPr>
  </w:style>
  <w:style w:type="paragraph" w:styleId="ShapkaDocumentu" w:customStyle="1">
    <w:name w:val="Shapka Documentu"/>
    <w:basedOn w:val="a"/>
    <w:uiPriority w:val="99"/>
    <w:rsid w:val="007043D3"/>
    <w:pPr>
      <w:keepNext w:val="1"/>
      <w:keepLines w:val="1"/>
      <w:spacing w:after="240" w:line="240" w:lineRule="auto"/>
      <w:ind w:left="3969"/>
      <w:jc w:val="center"/>
    </w:pPr>
    <w:rPr>
      <w:rFonts w:ascii="Antiqua" w:cs="Antiqua" w:eastAsia="Times New Roman" w:hAnsi="Antiqua"/>
      <w:sz w:val="26"/>
      <w:szCs w:val="26"/>
      <w:lang w:val="uk-UA"/>
    </w:rPr>
  </w:style>
  <w:style w:type="paragraph" w:styleId="aa">
    <w:name w:val="List Paragraph"/>
    <w:basedOn w:val="a"/>
    <w:uiPriority w:val="34"/>
    <w:qFormat w:val="1"/>
    <w:rsid w:val="00807D54"/>
    <w:pPr>
      <w:spacing w:after="0" w:line="240" w:lineRule="auto"/>
      <w:ind w:left="720"/>
      <w:contextualSpacing w:val="1"/>
      <w:jc w:val="both"/>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1088/1755-1315/1254/1/012075" TargetMode="External"/><Relationship Id="rId10" Type="http://schemas.openxmlformats.org/officeDocument/2006/relationships/hyperlink" Target="https://doi.org/10.1109/SIST54437.2022.9945752" TargetMode="External"/><Relationship Id="rId13" Type="http://schemas.openxmlformats.org/officeDocument/2006/relationships/hyperlink" Target="https://iopscience.iop.org/article/10.1088/1755-1315/1254/1/012075/pdf" TargetMode="External"/><Relationship Id="rId12" Type="http://schemas.openxmlformats.org/officeDocument/2006/relationships/hyperlink" Target="https://ieeexplore.ieee.org/abstract/document/102235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opus.com/inward/record.uri?eid=2-s2.0-85145603293&amp;partnerID=40&amp;md5=63b088a2cbd4060dc33cfc684b808667" TargetMode="External"/><Relationship Id="rId15" Type="http://schemas.openxmlformats.org/officeDocument/2006/relationships/hyperlink" Target="http://ceur-ws.org/Vol-3039/paper16.pdf" TargetMode="External"/><Relationship Id="rId14" Type="http://schemas.openxmlformats.org/officeDocument/2006/relationships/hyperlink" Target="https://cutt.ly/twU3957h"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1109/SIST58284.2023.10223543" TargetMode="External"/><Relationship Id="rId8" Type="http://schemas.openxmlformats.org/officeDocument/2006/relationships/hyperlink" Target="https://doi.org/10.1109/CSIT56902.2022.1000071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lchX/YlUl9V97yWM3D9QDSBP6A==">CgMxLjA4AHIhMWN3YklwZFRwMkx2MUxzZDFZczN4SFFjak9uRFBkUWRx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2021-12-21T09:33:00Z</dcterms:created>
  <dc:creator>Natase</dc:creator>
</cp:coreProperties>
</file>