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790" w:rsidRDefault="009F1991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1155700</wp:posOffset>
                </wp:positionV>
                <wp:extent cx="1892300" cy="381000"/>
                <wp:effectExtent l="0" t="0" r="0" b="0"/>
                <wp:wrapNone/>
                <wp:docPr id="6" name="Прямокут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5790" w:rsidRDefault="009F199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Державний торговельно-економічний університет, м. Київ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6" o:spid="_x0000_s1026" style="position:absolute;left:0;text-align:left;margin-left:62.15pt;margin-top:91pt;width:149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" fillcolor="white [3201]" stroked="f" strokeweight="1pt">
                <v:textbox>
                  <w:txbxContent>
                    <w:p w:rsidR="006E5790" w:rsidRDefault="009F199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Державний торговельно-економічний університет, м. Київ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i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920750" cy="920750"/>
            <wp:effectExtent l="0" t="0" r="0" b="0"/>
            <wp:docPr id="1" name="Рисунок 1" descr="index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index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318260" cy="10369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8984" cy="10449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953770" cy="120459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6402" cy="12207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168400" cy="9677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5825" cy="974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lang w:eastAsia="ru-RU"/>
        </w:rPr>
        <w:drawing>
          <wp:inline distT="0" distB="0" distL="0" distR="0">
            <wp:extent cx="1252220" cy="951865"/>
            <wp:effectExtent l="0" t="0" r="5080" b="635"/>
            <wp:docPr id="4" name="Рисунок 4" descr="скачанные файлы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скачанные файлы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5645" cy="108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790" w:rsidRDefault="006E579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E5790" w:rsidRDefault="009F1991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419860" cy="584200"/>
            <wp:effectExtent l="0" t="0" r="889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7809" cy="587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lang w:eastAsia="ru-RU"/>
        </w:rPr>
        <w:drawing>
          <wp:inline distT="0" distB="0" distL="0" distR="0">
            <wp:extent cx="2032635" cy="527050"/>
            <wp:effectExtent l="0" t="0" r="5715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5245" cy="57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762000" cy="7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5790" w:rsidRDefault="006E579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E5790" w:rsidRDefault="006E579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E5790" w:rsidRDefault="006E579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E5790" w:rsidRDefault="009F199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Ministry of Education and Science of Ukraine</w:t>
      </w:r>
    </w:p>
    <w:p w:rsidR="006E5790" w:rsidRDefault="009F199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Kyiv National University of Construction and Architecture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KNUCA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),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Kyiv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Ukraine</w:t>
      </w:r>
    </w:p>
    <w:p w:rsidR="006E5790" w:rsidRDefault="009F199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State Trade and Economic University (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STEU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),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Kyiv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Ukraine</w:t>
      </w:r>
    </w:p>
    <w:p w:rsidR="006E5790" w:rsidRDefault="009F199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Open International University for Human Development "Ukraine",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Kyiv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Ukraine</w:t>
      </w:r>
    </w:p>
    <w:p w:rsidR="006E5790" w:rsidRDefault="009F199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University of Economics-Varna, Varna, Bulgaria</w:t>
      </w:r>
    </w:p>
    <w:p w:rsidR="006E5790" w:rsidRDefault="009F199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 xml:space="preserve">Silesian University of Technology in Gliwice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(SUT), Gliwice, Poland</w:t>
      </w:r>
    </w:p>
    <w:p w:rsidR="006E5790" w:rsidRDefault="009F199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Academy of Construction of Ukraine</w:t>
      </w:r>
    </w:p>
    <w:p w:rsidR="006E5790" w:rsidRDefault="009F199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Industrial and Technical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Company "AGROMAT"</w:t>
      </w:r>
    </w:p>
    <w:p w:rsidR="006E5790" w:rsidRDefault="009F199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LLC "Epicenter K"</w:t>
      </w:r>
    </w:p>
    <w:p w:rsidR="006E5790" w:rsidRDefault="006E5790">
      <w:pPr>
        <w:spacing w:after="0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6E5790" w:rsidRDefault="009F199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 International Scientific and Practical Internet Conference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6E5790" w:rsidRDefault="009F1991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MARKETING STRATEGIES, ENTREPRENEURSHIP AND TRADE: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CURRENT STATE, DEVELOPMENT TRENDS</w:t>
      </w: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»</w:t>
      </w:r>
    </w:p>
    <w:p w:rsidR="006E5790" w:rsidRDefault="006E5790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6E5790" w:rsidRDefault="009F1991">
      <w:pPr>
        <w:spacing w:after="0" w:line="240" w:lineRule="auto"/>
        <w:jc w:val="center"/>
        <w:rPr>
          <w:rFonts w:cs="Calibri"/>
          <w:b/>
          <w:i/>
          <w:color w:val="000000" w:themeColor="text1"/>
          <w:sz w:val="28"/>
          <w:szCs w:val="28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>
            <wp:extent cx="3250565" cy="2432050"/>
            <wp:effectExtent l="0" t="0" r="6985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2534" cy="2463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790" w:rsidRDefault="006E5790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6E5790" w:rsidRDefault="006E5790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6E5790" w:rsidRDefault="009F1991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April 18, 2024</w:t>
      </w:r>
    </w:p>
    <w:p w:rsidR="006E5790" w:rsidRDefault="009F1991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Kyiv, Ukraine</w:t>
      </w:r>
    </w:p>
    <w:p w:rsidR="006E5790" w:rsidRDefault="006E5790">
      <w:pPr>
        <w:rPr>
          <w:color w:val="000000" w:themeColor="text1"/>
        </w:rPr>
      </w:pPr>
    </w:p>
    <w:p w:rsidR="006E5790" w:rsidRDefault="009F199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6E5790" w:rsidRDefault="009F1991">
      <w:pPr>
        <w:pStyle w:val="Default"/>
        <w:ind w:firstLine="660"/>
        <w:jc w:val="both"/>
        <w:rPr>
          <w:b/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  <w:lastRenderedPageBreak/>
        <w:t>Dear colleagues,</w:t>
      </w:r>
    </w:p>
    <w:p w:rsidR="006E5790" w:rsidRDefault="006E5790">
      <w:pPr>
        <w:pStyle w:val="Default"/>
        <w:ind w:firstLine="660"/>
        <w:jc w:val="both"/>
        <w:rPr>
          <w:color w:val="000000" w:themeColor="text1"/>
          <w:sz w:val="28"/>
          <w:szCs w:val="28"/>
          <w:lang w:val="uk-UA"/>
        </w:rPr>
      </w:pPr>
    </w:p>
    <w:p w:rsidR="006E5790" w:rsidRDefault="009F1991">
      <w:pPr>
        <w:pStyle w:val="Default"/>
        <w:ind w:firstLine="66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We invite you to</w:t>
      </w:r>
      <w:r>
        <w:rPr>
          <w:color w:val="000000" w:themeColor="text1"/>
          <w:sz w:val="28"/>
          <w:szCs w:val="28"/>
          <w:lang w:val="uk-UA"/>
        </w:rPr>
        <w:t xml:space="preserve"> participate in the proceedings of the V International Scientific and Practical Internet Conference "Marketing Strategies, Entrepreneurship, and Trade: Current State, Development Trends," scheduled for April 18, 2024. The conference will take place at the </w:t>
      </w:r>
      <w:r>
        <w:rPr>
          <w:color w:val="000000" w:themeColor="text1"/>
          <w:sz w:val="28"/>
          <w:szCs w:val="28"/>
          <w:lang w:val="uk-UA"/>
        </w:rPr>
        <w:t>Department of Commodity Science and Commercial Activities in Construction of the Construction and Technological Faculty at Kyiv National University of Construction and Architecture.</w:t>
      </w:r>
    </w:p>
    <w:p w:rsidR="006E5790" w:rsidRDefault="006E5790">
      <w:pPr>
        <w:pStyle w:val="Default"/>
        <w:ind w:firstLine="660"/>
        <w:jc w:val="both"/>
        <w:rPr>
          <w:b/>
          <w:bCs/>
          <w:i/>
          <w:iCs/>
          <w:color w:val="000000" w:themeColor="text1"/>
          <w:sz w:val="28"/>
          <w:szCs w:val="28"/>
          <w:lang w:val="uk-UA"/>
        </w:rPr>
      </w:pPr>
    </w:p>
    <w:p w:rsidR="006E5790" w:rsidRDefault="009F1991">
      <w:pPr>
        <w:pStyle w:val="Default"/>
        <w:ind w:firstLine="660"/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bCs/>
          <w:i/>
          <w:iCs/>
          <w:color w:val="000000" w:themeColor="text1"/>
          <w:sz w:val="28"/>
          <w:szCs w:val="28"/>
          <w:lang w:val="uk-UA"/>
        </w:rPr>
        <w:t>Conference objectives:</w:t>
      </w:r>
    </w:p>
    <w:p w:rsidR="006E5790" w:rsidRDefault="009F1991">
      <w:pPr>
        <w:pStyle w:val="Default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Exchange of experience.</w:t>
      </w:r>
    </w:p>
    <w:p w:rsidR="006E5790" w:rsidRDefault="009F1991">
      <w:pPr>
        <w:pStyle w:val="Default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Іmplementation of research</w:t>
      </w:r>
      <w:r>
        <w:rPr>
          <w:color w:val="000000" w:themeColor="text1"/>
          <w:sz w:val="28"/>
          <w:szCs w:val="28"/>
          <w:lang w:val="uk-UA"/>
        </w:rPr>
        <w:t xml:space="preserve"> results in the practical activities of enterprises and institutions continuing to operate during the state of war.</w:t>
      </w:r>
    </w:p>
    <w:p w:rsidR="006E5790" w:rsidRDefault="009F1991">
      <w:pPr>
        <w:pStyle w:val="Default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Consolidation of efforts between science and practice to determine the paths of post-war development in innovative entrepreneurship and the </w:t>
      </w:r>
      <w:r>
        <w:rPr>
          <w:color w:val="000000" w:themeColor="text1"/>
          <w:sz w:val="28"/>
          <w:szCs w:val="28"/>
          <w:lang w:val="uk-UA"/>
        </w:rPr>
        <w:t>construction industry in Ukraine.</w:t>
      </w:r>
    </w:p>
    <w:p w:rsidR="006E5790" w:rsidRDefault="006E5790">
      <w:pPr>
        <w:pStyle w:val="Default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6E5790" w:rsidRDefault="009F199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INTERNATIONAL SCIENTIFIC COMMITTEE</w:t>
      </w:r>
    </w:p>
    <w:p w:rsidR="006E5790" w:rsidRDefault="009F199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en-US"/>
        </w:rPr>
        <w:t>Kulikov Petro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Doctor of Economics,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Professor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Rector of the </w:t>
      </w:r>
      <w:r>
        <w:rPr>
          <w:rFonts w:ascii="Times New Roman" w:hAnsi="Times New Roman"/>
          <w:color w:val="000000" w:themeColor="text1"/>
          <w:sz w:val="24"/>
          <w:szCs w:val="24"/>
        </w:rPr>
        <w:t>Kyiv National University of Construction and Architecture (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KNUCA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) ‒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Chair of the International Scientific Committee;</w:t>
      </w:r>
    </w:p>
    <w:p w:rsidR="006E5790" w:rsidRDefault="009F199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en-US"/>
        </w:rPr>
        <w:t>Chernyshev Denys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Doctor of Engineering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Professor</w:t>
      </w:r>
      <w:r>
        <w:rPr>
          <w:rFonts w:ascii="Times New Roman" w:hAnsi="Times New Roman"/>
          <w:color w:val="000000" w:themeColor="text1"/>
          <w:sz w:val="24"/>
          <w:szCs w:val="24"/>
        </w:rPr>
        <w:t>, First Vice-Rector of KNU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A (Kyiv) –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co-chair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6E5790" w:rsidRDefault="009F199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en-US"/>
        </w:rPr>
        <w:t>Hots Volodymyr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Doctor of Engineering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Professor</w:t>
      </w:r>
      <w:r>
        <w:rPr>
          <w:rFonts w:ascii="Times New Roman" w:hAnsi="Times New Roman"/>
          <w:color w:val="000000" w:themeColor="text1"/>
          <w:sz w:val="24"/>
          <w:szCs w:val="24"/>
        </w:rPr>
        <w:t>, Dean of the Faculty of Construction and Technology, KNU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A (Kyiv) –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co-chair;</w:t>
      </w:r>
    </w:p>
    <w:p w:rsidR="006E5790" w:rsidRDefault="009F199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en-US"/>
        </w:rPr>
        <w:t>Zakharchenko Petro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‒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Head of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the Department of Commodity Science and Commercial Activities in Construction, KNU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A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(Kyiv)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Vice President of the Academy of Construction of Ukraine (Kyiv) –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  <w:t>co-chair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E5790" w:rsidRDefault="009F199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en-US"/>
        </w:rPr>
        <w:t>Lych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 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en-US"/>
        </w:rPr>
        <w:t>Volodymyr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‒ Doctor of Economics,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Professor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Head of the Department of Economic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Theory, Accounting, and Taxation, KNU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A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(Kyiv)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–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  <w:t>co-chair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6E5790" w:rsidRDefault="009F199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en-US"/>
        </w:rPr>
        <w:t>Prytulska Natalia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Doctor of Engineering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Professor</w:t>
      </w:r>
      <w:r>
        <w:rPr>
          <w:rFonts w:ascii="Times New Roman" w:hAnsi="Times New Roman"/>
          <w:color w:val="000000" w:themeColor="text1"/>
          <w:sz w:val="24"/>
          <w:szCs w:val="24"/>
        </w:rPr>
        <w:t>, First Vice-Rector for Scientific and Pedagogical Work, State Trade and Economic University (Kyiv)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6E5790" w:rsidRDefault="009F199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Dubas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Rostislav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‒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Doctor of Economics,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Professor</w:t>
      </w:r>
      <w:r>
        <w:rPr>
          <w:rFonts w:ascii="Times New Roman" w:hAnsi="Times New Roman"/>
          <w:color w:val="000000" w:themeColor="text1"/>
          <w:sz w:val="24"/>
          <w:szCs w:val="24"/>
        </w:rPr>
        <w:t>, Head of the Department of Management and Administration, Institute of Economics and Management, Open International University of Human Development "Ukraine" (Kyiv);</w:t>
      </w:r>
    </w:p>
    <w:p w:rsidR="006E5790" w:rsidRDefault="009F199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Lozova Tetiana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‒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Doctor of Engineering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Professor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Professor of the Department o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f Commodity Science, Customs Affairs, and Quality Management, Lviv Trade and Economic University (Lviv)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E5790" w:rsidRDefault="009F199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en-US"/>
        </w:rPr>
        <w:t xml:space="preserve">Pavlova Valentyna 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>‒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Doctor of Economics,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Professor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Professor of the Department of International Trade and Entrepreneurship, Alfred Nobel University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(Dnipro)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E5790" w:rsidRDefault="009F1991" w:rsidP="004E4F8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en-US"/>
        </w:rPr>
        <w:t>Bondar-Pidhurska O</w:t>
      </w:r>
      <w:r w:rsidR="004E4F8A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en-US"/>
        </w:rPr>
        <w:t>ksana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‒ </w:t>
      </w:r>
      <w:r w:rsidR="004E4F8A" w:rsidRPr="004E4F8A">
        <w:rPr>
          <w:rFonts w:ascii="Times New Roman" w:hAnsi="Times New Roman"/>
          <w:color w:val="000000" w:themeColor="text1"/>
          <w:sz w:val="24"/>
          <w:szCs w:val="24"/>
        </w:rPr>
        <w:t>Doctor of Economic Sciences, Associate Professor, Professor of the Management Department</w:t>
      </w:r>
      <w:r w:rsidR="004E4F8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r w:rsidR="004E4F8A" w:rsidRPr="004E4F8A">
        <w:rPr>
          <w:rFonts w:ascii="Times New Roman" w:hAnsi="Times New Roman"/>
          <w:color w:val="000000" w:themeColor="text1"/>
          <w:sz w:val="24"/>
          <w:szCs w:val="24"/>
        </w:rPr>
        <w:t>Poltava University of Economics and Tr</w:t>
      </w:r>
      <w:bookmarkStart w:id="0" w:name="_GoBack"/>
      <w:bookmarkEnd w:id="0"/>
      <w:r w:rsidR="004E4F8A" w:rsidRPr="004E4F8A">
        <w:rPr>
          <w:rFonts w:ascii="Times New Roman" w:hAnsi="Times New Roman"/>
          <w:color w:val="000000" w:themeColor="text1"/>
          <w:sz w:val="24"/>
          <w:szCs w:val="24"/>
        </w:rPr>
        <w:t>ade (Poltava)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E5790" w:rsidRDefault="009F199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en-US"/>
        </w:rPr>
        <w:t>Omelchenko Nataliia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Cand. of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tech. s.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Professor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Professor of the Department of Commodity Science, Trade Entrepreneurship, and Goods Expertise, State Institution </w:t>
      </w:r>
      <w:r>
        <w:rPr>
          <w:rFonts w:ascii="Times New Roman" w:hAnsi="Times New Roman"/>
          <w:color w:val="000000" w:themeColor="text1"/>
          <w:sz w:val="24"/>
          <w:szCs w:val="24"/>
        </w:rPr>
        <w:t>“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Taras Shevchenko National University of Luhansk</w:t>
      </w:r>
      <w:r>
        <w:rPr>
          <w:rFonts w:ascii="Times New Roman" w:hAnsi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(Poltava)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E5790" w:rsidRDefault="009F199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Hliebova 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en-US"/>
        </w:rPr>
        <w:t>lla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‒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Cand. of econ. s.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Associate professor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Associate Professor of the Department of Management and Logistics, National University "Poltava Polytechnic named after Yuri Kondratyuk" (Poltava)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E5790" w:rsidRDefault="009F199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en-US"/>
        </w:rPr>
        <w:t>Stoykova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en-US"/>
        </w:rPr>
        <w:t>Temenuga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PhD,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Associate professor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Associate Professor of Commodity Science, Economic University; F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orensic Expert in Commodity Science and Economic Expertise (Varna, Bulgaria)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E5790" w:rsidRDefault="009F199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en-US"/>
        </w:rPr>
        <w:t>Z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zh-CN"/>
        </w:rPr>
        <w:t>virgzdina</w:t>
      </w:r>
      <w:r>
        <w:rPr>
          <w:rFonts w:ascii="Times New Roman" w:hAnsi="Times New Roman"/>
          <w:color w:val="000000" w:themeColor="text1"/>
          <w:sz w:val="24"/>
          <w:szCs w:val="24"/>
          <w:lang w:val="zh-CN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zh-CN"/>
        </w:rPr>
        <w:t>Rosita</w:t>
      </w:r>
      <w:r>
        <w:rPr>
          <w:rFonts w:ascii="Times New Roman" w:hAnsi="Times New Roman"/>
          <w:color w:val="000000" w:themeColor="text1"/>
          <w:sz w:val="24"/>
          <w:szCs w:val="24"/>
          <w:lang w:val="zh-CN"/>
        </w:rPr>
        <w:t xml:space="preserve"> ‒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Dr.oec. (Econ), Professor, Head of Commerce Department Turiba University (Riga, Latvia);</w:t>
      </w:r>
    </w:p>
    <w:p w:rsidR="006E5790" w:rsidRDefault="009F199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lastRenderedPageBreak/>
        <w:t>Kuzior Aleksandra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, dr hab., prof. PŚ</w:t>
      </w:r>
      <w:r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 xml:space="preserve">, Vice-Dean for Cooperation and </w:t>
      </w:r>
      <w:r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>Development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, Faculty of Organization and Management,</w:t>
      </w:r>
      <w:r>
        <w:rPr>
          <w:rFonts w:ascii="Times New Roman" w:hAnsi="Times New Roman"/>
          <w:color w:val="000000" w:themeColor="text1"/>
          <w:kern w:val="36"/>
          <w:sz w:val="24"/>
          <w:szCs w:val="24"/>
          <w:lang w:val="en-US"/>
        </w:rPr>
        <w:t xml:space="preserve"> Silesian University of Technology in Gliwice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(SUT) </w:t>
      </w:r>
      <w:r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 xml:space="preserve">(м. Глівіце,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Польща</w:t>
      </w:r>
      <w:r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 xml:space="preserve">); </w:t>
      </w:r>
    </w:p>
    <w:p w:rsidR="006E5790" w:rsidRDefault="009F199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Dźwigoł-Barosz Mariola,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dr hab., prof. PŚ</w:t>
      </w:r>
      <w:r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>,</w:t>
      </w:r>
      <w:r>
        <w:rPr>
          <w:rFonts w:ascii="Times New Roman" w:hAnsi="Times New Roman"/>
          <w:color w:val="000000" w:themeColor="text1"/>
          <w:spacing w:val="-2"/>
          <w:sz w:val="24"/>
          <w:szCs w:val="24"/>
          <w:lang w:val="en-US"/>
        </w:rPr>
        <w:t xml:space="preserve"> Department of Management,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Faculty of Organization and Management,</w:t>
      </w:r>
      <w:r>
        <w:rPr>
          <w:rFonts w:ascii="Times New Roman" w:hAnsi="Times New Roman"/>
          <w:color w:val="000000" w:themeColor="text1"/>
          <w:kern w:val="36"/>
          <w:sz w:val="24"/>
          <w:szCs w:val="24"/>
          <w:lang w:val="en-US"/>
        </w:rPr>
        <w:t xml:space="preserve"> Silesian University of Technology in Gliwice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(SUT) </w:t>
      </w:r>
      <w:r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Poland</w:t>
      </w:r>
      <w:r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).</w:t>
      </w:r>
    </w:p>
    <w:p w:rsidR="006E5790" w:rsidRDefault="009F199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en-US" w:eastAsia="ru-RU"/>
        </w:rPr>
        <w:t>Datsenko L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en-US" w:eastAsia="ru-RU"/>
        </w:rPr>
        <w:t>udmyla</w:t>
      </w:r>
      <w:r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, B.Ed., MA ‒ Adjunct Professor Vanier College Continuing Education (Montreal, Quebec, Canada), Marketing Manager Desjardins (Canada);</w:t>
      </w:r>
    </w:p>
    <w:p w:rsidR="006E5790" w:rsidRDefault="009F199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en-US"/>
        </w:rPr>
        <w:t>Lialina Natalia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Doctor of Engineering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Professor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Professor of the Department of Commodity Science and Commercial Activities in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Construction  (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KNUCA, Kyiv)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E5790" w:rsidRDefault="009F199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Dymenko Ruslan</w:t>
      </w:r>
      <w:r>
        <w:rPr>
          <w:rFonts w:ascii="Times New Roman" w:hAnsi="Times New Roman"/>
          <w:sz w:val="24"/>
          <w:szCs w:val="24"/>
        </w:rPr>
        <w:t xml:space="preserve"> ‒ </w:t>
      </w:r>
      <w:r>
        <w:rPr>
          <w:rFonts w:ascii="Times New Roman" w:hAnsi="Times New Roman"/>
          <w:color w:val="000000" w:themeColor="text1"/>
          <w:sz w:val="24"/>
          <w:szCs w:val="24"/>
        </w:rPr>
        <w:t>Doctor of Economics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Professor</w:t>
      </w:r>
      <w:r>
        <w:rPr>
          <w:rFonts w:ascii="Times New Roman" w:hAnsi="Times New Roman"/>
          <w:sz w:val="24"/>
          <w:szCs w:val="24"/>
        </w:rPr>
        <w:t xml:space="preserve">, </w:t>
      </w:r>
      <w:bookmarkStart w:id="1" w:name="_Hlk114650038"/>
      <w:r>
        <w:rPr>
          <w:rFonts w:ascii="Times New Roman" w:hAnsi="Times New Roman"/>
          <w:sz w:val="24"/>
          <w:szCs w:val="24"/>
          <w:lang w:val="en-US"/>
        </w:rPr>
        <w:t xml:space="preserve">Professor of the Department of Commodity Science and Commercial Activities in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Constructio</w:t>
      </w:r>
      <w:r>
        <w:rPr>
          <w:rFonts w:ascii="Times New Roman" w:hAnsi="Times New Roman"/>
          <w:sz w:val="24"/>
          <w:szCs w:val="24"/>
          <w:lang w:val="en-US"/>
        </w:rPr>
        <w:t>n  (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KNUCA, Kyiv)</w:t>
      </w:r>
      <w:bookmarkEnd w:id="1"/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E5790" w:rsidRDefault="009F199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en-US"/>
        </w:rPr>
        <w:t>Kalina Iryna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‒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Doctor of Economics,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Professor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Professor of the Department of Commodity Science and Commercial Activities in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Construction  (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KNUCA, Kyiv)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E5790" w:rsidRDefault="009F199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en-US"/>
        </w:rPr>
        <w:t>Zgalat-Lozynska Liubov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‒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Doctor of Economics,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Professor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Associate Professor of the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Department of Economic Theory, Accounting, and Taxation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(KNUCA, Kyiv)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E5790" w:rsidRDefault="006E579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6E5790" w:rsidRDefault="009F199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ORGANIZATIONAL COMMITTEE</w:t>
      </w:r>
    </w:p>
    <w:p w:rsidR="006E5790" w:rsidRDefault="009F1991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Cs/>
          <w:color w:val="000000" w:themeColor="text1"/>
          <w:sz w:val="24"/>
          <w:szCs w:val="24"/>
        </w:rPr>
        <w:t>Chair of the</w:t>
      </w:r>
      <w:r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Organizational</w:t>
      </w:r>
      <w:r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 Committee:</w:t>
      </w:r>
    </w:p>
    <w:p w:rsidR="006E5790" w:rsidRDefault="009F199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en-US"/>
        </w:rPr>
        <w:t>Samoilenko Antonina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Cand. of tech. s.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Associate professor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bookmarkStart w:id="2" w:name="_Hlk114649966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Professor of the Department of Commodity Science and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Commercial Activities in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Construction  (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KNUCA, Kyiv)</w:t>
      </w:r>
      <w:bookmarkEnd w:id="2"/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E5790" w:rsidRDefault="009F199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Responsible Secretary of the Organizational Committee:</w:t>
      </w:r>
    </w:p>
    <w:p w:rsidR="006E5790" w:rsidRDefault="009F199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en-US"/>
        </w:rPr>
        <w:t>Yudicheva Olga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Cand. of tech. s.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Associate professor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Professor of the Department of Commodity Science and Commercial Activities in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Construction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 (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KNUCA, Kyiv)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6E5790" w:rsidRDefault="009F199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Members of the Organizational Committee:</w:t>
      </w:r>
    </w:p>
    <w:p w:rsidR="006E5790" w:rsidRDefault="009F199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3" w:name="_Hlk114407183"/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en-US"/>
        </w:rPr>
        <w:t>Alaverdian Liudmyla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Cand. of econ. s.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Associate professor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Associate professor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of the Department of Commodity Science and Commercial Activities in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Construction  (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KNUCA, Kyiv)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E5790" w:rsidRDefault="009F199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 w:themeColor="text1"/>
          <w:sz w:val="24"/>
          <w:szCs w:val="24"/>
          <w:lang w:val="en-US"/>
        </w:rPr>
        <w:t>Datsenko</w:t>
      </w:r>
      <w:r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 </w:t>
      </w:r>
      <w:r>
        <w:rPr>
          <w:rFonts w:ascii="Times New Roman" w:hAnsi="Times New Roman"/>
          <w:b/>
          <w:bCs/>
          <w:i/>
          <w:color w:val="000000" w:themeColor="text1"/>
          <w:sz w:val="24"/>
          <w:szCs w:val="24"/>
          <w:lang w:val="en-US"/>
        </w:rPr>
        <w:t>Borys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Cand. of tech. s.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Associate professor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Associate professor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of the Department of Commodity Science and Commercial Activities in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Construction  (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KNUCA, Kyiv)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E5790" w:rsidRDefault="009F19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>Marchenko</w:t>
      </w:r>
      <w:r>
        <w:rPr>
          <w:rFonts w:ascii="Times New Roman" w:hAnsi="Times New Roman"/>
          <w:b/>
          <w:bCs/>
          <w:i/>
          <w:sz w:val="24"/>
          <w:szCs w:val="24"/>
        </w:rPr>
        <w:t> </w:t>
      </w:r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>Svitlana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Cand. of econ. s.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Associate professor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Associate professor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of the Department </w:t>
      </w:r>
      <w:r>
        <w:rPr>
          <w:rFonts w:ascii="Times New Roman" w:hAnsi="Times New Roman"/>
          <w:sz w:val="24"/>
          <w:szCs w:val="24"/>
          <w:lang w:val="en-US"/>
        </w:rPr>
        <w:t xml:space="preserve">of Commodity Science and Commercial Activities in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Construction  (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KNUCA, Kyiv)</w:t>
      </w:r>
      <w:r>
        <w:rPr>
          <w:rFonts w:ascii="Times New Roman" w:hAnsi="Times New Roman"/>
          <w:sz w:val="24"/>
          <w:szCs w:val="24"/>
        </w:rPr>
        <w:t>;</w:t>
      </w:r>
    </w:p>
    <w:bookmarkEnd w:id="3"/>
    <w:p w:rsidR="006E5790" w:rsidRDefault="009F199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 w:themeColor="text1"/>
          <w:sz w:val="24"/>
          <w:szCs w:val="24"/>
          <w:lang w:val="en-US"/>
        </w:rPr>
        <w:t>Ogorodnik Iryna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Cand. of tech. s.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Associate professor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Associate professor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of the Department of Commodity Science and Commercial Activities in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Construction  (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KNUCA, Kyiv)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E5790" w:rsidRDefault="009F199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 w:themeColor="text1"/>
          <w:sz w:val="24"/>
          <w:szCs w:val="24"/>
          <w:lang w:val="en-US"/>
        </w:rPr>
        <w:t>Romanenko Olesia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Cand. of econ. s.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Associate professor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Associate professor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of the Department of Commodity Science and Commercial Activities in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Construction  (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KNUCA, Kyiv)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E5790" w:rsidRDefault="009F199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en-US"/>
        </w:rPr>
        <w:t>Sheremet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en-US"/>
        </w:rPr>
        <w:t>Maksym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‒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CEO of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Epicentr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 7» (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Kyiv</w:t>
      </w:r>
      <w:r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6E5790" w:rsidRDefault="009F19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Kunytsky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М. </w:t>
      </w: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Cs/>
          <w:sz w:val="24"/>
          <w:szCs w:val="24"/>
          <w:lang w:val="en-US"/>
        </w:rPr>
        <w:t xml:space="preserve">director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of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Epicentr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 7»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Kyiv</w:t>
      </w:r>
      <w:r>
        <w:rPr>
          <w:rFonts w:ascii="Times New Roman" w:hAnsi="Times New Roman"/>
          <w:sz w:val="24"/>
          <w:szCs w:val="24"/>
          <w:shd w:val="clear" w:color="auto" w:fill="FFFFFF"/>
        </w:rPr>
        <w:t>);</w:t>
      </w:r>
    </w:p>
    <w:p w:rsidR="006E5790" w:rsidRDefault="009F19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  <w:lang w:val="en-US"/>
        </w:rPr>
        <w:t xml:space="preserve">Palamarchuk </w:t>
      </w: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  <w:lang w:val="en-US"/>
        </w:rPr>
        <w:t>leksandr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commercial</w:t>
      </w:r>
      <w:proofErr w:type="gramEnd"/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en-US"/>
        </w:rPr>
        <w:t xml:space="preserve">director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of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Epicentr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Kyiv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region</w:t>
      </w:r>
      <w:r>
        <w:rPr>
          <w:rFonts w:ascii="Times New Roman" w:hAnsi="Times New Roman"/>
          <w:sz w:val="24"/>
          <w:szCs w:val="24"/>
          <w:shd w:val="clear" w:color="auto" w:fill="FFFFFF"/>
        </w:rPr>
        <w:t>);</w:t>
      </w:r>
    </w:p>
    <w:p w:rsidR="006E5790" w:rsidRDefault="006E5790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E5790" w:rsidRDefault="009F1991">
      <w:pPr>
        <w:spacing w:after="0"/>
        <w:ind w:firstLine="284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CONFERENCE THEMATIC AREAS</w:t>
      </w:r>
    </w:p>
    <w:p w:rsidR="006E5790" w:rsidRDefault="009F199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Section 1: Issues of Economic Development in Ukraine and Ways of Resolving Them. </w:t>
      </w:r>
    </w:p>
    <w:p w:rsidR="006E5790" w:rsidRDefault="009F199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Section 2: Marketing and Management in Entrepreneurship Amidst War and Economic Uncertainty in the Country. </w:t>
      </w:r>
    </w:p>
    <w:p w:rsidR="006E5790" w:rsidRDefault="009F199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Section 3: Accounting, Analysis, and Audit of Entrepreneurial Structures. </w:t>
      </w:r>
    </w:p>
    <w:p w:rsidR="006E5790" w:rsidRDefault="009F199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Section 4: State and Trends in the Development of Modern Trade. </w:t>
      </w:r>
    </w:p>
    <w:p w:rsidR="006E5790" w:rsidRDefault="009F199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Section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5: Quality and Safety Management of Goods and Services. </w:t>
      </w:r>
    </w:p>
    <w:p w:rsidR="006E5790" w:rsidRDefault="009F199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Section 6: Enhancement of Logistic Systems in the Goods Market Considering the State of War. </w:t>
      </w:r>
    </w:p>
    <w:p w:rsidR="006E5790" w:rsidRDefault="009F199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Section 7: Marketing Research of Goods and Markets. </w:t>
      </w:r>
    </w:p>
    <w:p w:rsidR="006E5790" w:rsidRDefault="009F199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Section 8: Perspectives on the Use of Modern Constr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uction Materials and Products in the Post-War Period for the Reconstruction of Ukraine. </w:t>
      </w:r>
    </w:p>
    <w:p w:rsidR="006E5790" w:rsidRDefault="009F199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Section 9: Formation of Professional Competencies in Higher Education Applicants in the Fields of 075 "Marketing," 076 "Entrepreneurship and Trade," and 051 "Economics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" in the Modern Stage.</w:t>
      </w:r>
    </w:p>
    <w:p w:rsidR="006E5790" w:rsidRDefault="006E5790">
      <w:pPr>
        <w:pStyle w:val="Default"/>
        <w:ind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6E5790" w:rsidRDefault="009F1991">
      <w:pPr>
        <w:spacing w:after="0" w:line="24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CONFERENCE PARTICIPATION CONDITIONS AND ABSTRACT SUBMISSION</w:t>
      </w:r>
    </w:p>
    <w:p w:rsidR="006E5790" w:rsidRDefault="009F199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Publication of abstracts in electronic format in .pdf is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free of charge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E5790" w:rsidRDefault="009F199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Participation Format: Remote</w:t>
      </w:r>
    </w:p>
    <w:p w:rsidR="006E5790" w:rsidRDefault="009F199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Conference Working Languages: Ukrainian, English.</w:t>
      </w:r>
    </w:p>
    <w:p w:rsidR="006E5790" w:rsidRDefault="009F199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To publish abstracts in the conference materials, please submit the following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by April 5, 2024,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in a single email to the organizing committee at </w:t>
      </w:r>
      <w:hyperlink r:id="rId17" w:history="1">
        <w:r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conf.tkd.bud@gmail.com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E5790" w:rsidRDefault="009F1991">
      <w:pPr>
        <w:numPr>
          <w:ilvl w:val="0"/>
          <w:numId w:val="2"/>
        </w:numPr>
        <w:spacing w:after="0" w:line="240" w:lineRule="auto"/>
        <w:ind w:firstLine="4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Participation application;</w:t>
      </w:r>
    </w:p>
    <w:p w:rsidR="006E5790" w:rsidRDefault="009F1991">
      <w:pPr>
        <w:numPr>
          <w:ilvl w:val="0"/>
          <w:numId w:val="2"/>
        </w:numPr>
        <w:spacing w:after="0" w:line="240" w:lineRule="auto"/>
        <w:ind w:firstLine="4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Abstracts of </w:t>
      </w:r>
      <w:r>
        <w:rPr>
          <w:rFonts w:ascii="Times New Roman" w:hAnsi="Times New Roman"/>
          <w:color w:val="000000" w:themeColor="text1"/>
          <w:sz w:val="28"/>
          <w:szCs w:val="28"/>
        </w:rPr>
        <w:t>the report, formatted according to the requirements.</w:t>
      </w:r>
    </w:p>
    <w:p w:rsidR="006E5790" w:rsidRDefault="006E57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E5790" w:rsidRDefault="009F199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Electronic file variants should be named with the surname of the first author of the work: Bondarenko_Abstracts.doc, Bondarenko_Application.doc.</w:t>
      </w:r>
    </w:p>
    <w:p w:rsidR="006E5790" w:rsidRDefault="009F199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Authors will be notified of the receipt of materials with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in 3 working days.</w:t>
      </w:r>
    </w:p>
    <w:p w:rsidR="006E5790" w:rsidRDefault="009F19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Undergraduate and graduate students submit abstracts only in collaboration with a scientific supervisor or under their guidance.</w:t>
      </w:r>
    </w:p>
    <w:p w:rsidR="006E5790" w:rsidRDefault="009F199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Authors are responsible for the content of the materials provided for printing and compliance with copyright</w:t>
      </w:r>
      <w:r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 xml:space="preserve"> laws. The organizing committee reserves the right to return abstracts for revision if they do not correspond to the conference theme or specified formatting requirements, or if they contain academic plagiarism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(text originality should be at least 60%)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6E5790" w:rsidRDefault="006E579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6E5790" w:rsidRDefault="006E5790">
      <w:pPr>
        <w:pStyle w:val="Default"/>
        <w:spacing w:line="240" w:lineRule="exact"/>
        <w:ind w:firstLine="709"/>
        <w:jc w:val="both"/>
        <w:rPr>
          <w:i/>
          <w:color w:val="000000" w:themeColor="text1"/>
          <w:sz w:val="28"/>
          <w:szCs w:val="28"/>
          <w:lang w:val="uk-UA"/>
        </w:rPr>
      </w:pPr>
    </w:p>
    <w:p w:rsidR="006E5790" w:rsidRDefault="009F1991">
      <w:pPr>
        <w:pStyle w:val="Default"/>
        <w:ind w:firstLine="709"/>
        <w:jc w:val="center"/>
        <w:rPr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>REQUIREMENTS FOR PREPARING ABSTRACTS FOR REPORTS</w:t>
      </w:r>
    </w:p>
    <w:p w:rsidR="006E5790" w:rsidRDefault="009F1991">
      <w:pPr>
        <w:pStyle w:val="Default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Materials should be prepared in Microsoft Word editor (*.doc format). A4 sheet format. Margins: (left, right, bottom, top) - 2 cm, font - Times New Roman, size - 14 pt, spacing - 1.0 pt, normal style, paragr</w:t>
      </w:r>
      <w:r>
        <w:rPr>
          <w:color w:val="000000" w:themeColor="text1"/>
          <w:sz w:val="28"/>
          <w:szCs w:val="28"/>
          <w:lang w:val="uk-UA"/>
        </w:rPr>
        <w:t>aph - 1.25 cm. Do not include page numbers.</w:t>
      </w:r>
    </w:p>
    <w:p w:rsidR="006E5790" w:rsidRDefault="009F1991">
      <w:pPr>
        <w:pStyle w:val="Default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The volume of the abstracts should not exceed 4 full pages, including figures and tables (figures should be grouped), without compressing the text or word wrapping. The abstracts should have </w:t>
      </w:r>
      <w:r>
        <w:rPr>
          <w:b/>
          <w:bCs/>
          <w:color w:val="000000" w:themeColor="text1"/>
          <w:sz w:val="28"/>
          <w:szCs w:val="28"/>
          <w:u w:val="single"/>
          <w:lang w:val="uk-UA"/>
        </w:rPr>
        <w:t>the following structu</w:t>
      </w:r>
      <w:r>
        <w:rPr>
          <w:b/>
          <w:bCs/>
          <w:color w:val="000000" w:themeColor="text1"/>
          <w:sz w:val="28"/>
          <w:szCs w:val="28"/>
          <w:u w:val="single"/>
          <w:lang w:val="uk-UA"/>
        </w:rPr>
        <w:t>ral elements that are not highlighted in the text: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i/>
          <w:iCs/>
          <w:color w:val="000000" w:themeColor="text1"/>
          <w:sz w:val="28"/>
          <w:szCs w:val="28"/>
          <w:lang w:val="uk-UA"/>
        </w:rPr>
        <w:t>introduction, presentation of the main material, conclusions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6E5790" w:rsidRDefault="009F1991">
      <w:pPr>
        <w:pStyle w:val="Default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The list of used sources is provided at the end of the text and is formatted according to the current standard of bibliographic description DST</w:t>
      </w:r>
      <w:r>
        <w:rPr>
          <w:color w:val="000000" w:themeColor="text1"/>
          <w:sz w:val="28"/>
          <w:szCs w:val="28"/>
          <w:lang w:val="uk-UA"/>
        </w:rPr>
        <w:t xml:space="preserve">U 8302:2015, and for abstracts in English - according to the international bibliographic standards APA </w:t>
      </w:r>
      <w:r w:rsidRPr="004E4F8A">
        <w:rPr>
          <w:color w:val="000000" w:themeColor="text1"/>
          <w:sz w:val="28"/>
          <w:szCs w:val="28"/>
          <w:lang w:val="en-US"/>
        </w:rPr>
        <w:t>(</w:t>
      </w:r>
      <w:hyperlink r:id="rId18" w:history="1">
        <w:r w:rsidRPr="004E4F8A">
          <w:rPr>
            <w:rStyle w:val="a4"/>
            <w:sz w:val="28"/>
            <w:szCs w:val="28"/>
            <w:lang w:val="en-US"/>
          </w:rPr>
          <w:t>http://www.bibme.org/citation-guide/APA/book</w:t>
        </w:r>
      </w:hyperlink>
      <w:r w:rsidRPr="004E4F8A">
        <w:rPr>
          <w:color w:val="000000" w:themeColor="text1"/>
          <w:sz w:val="28"/>
          <w:szCs w:val="28"/>
          <w:lang w:val="en-US"/>
        </w:rPr>
        <w:t>).</w:t>
      </w:r>
      <w:r>
        <w:rPr>
          <w:color w:val="000000" w:themeColor="text1"/>
          <w:sz w:val="28"/>
          <w:szCs w:val="28"/>
          <w:lang w:val="uk-UA"/>
        </w:rPr>
        <w:t xml:space="preserve"> References to the literature used in the text are given in square brackets: source number and, separated by a comma, pages [1, p. 25].</w:t>
      </w:r>
    </w:p>
    <w:p w:rsidR="006E5790" w:rsidRDefault="009F1991">
      <w:pPr>
        <w:pStyle w:val="Default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All graphic materials (diagrams, graphs, schemes, photos, drawings) should have the same caption "Fig.," numbered with A</w:t>
      </w:r>
      <w:r>
        <w:rPr>
          <w:color w:val="000000" w:themeColor="text1"/>
          <w:sz w:val="28"/>
          <w:szCs w:val="28"/>
          <w:lang w:val="uk-UA"/>
        </w:rPr>
        <w:t xml:space="preserve">rabic numerals. The title of the figure is printed in capital letters in bold and placed under the figure in the middle of the line, for example, </w:t>
      </w:r>
      <w:r>
        <w:rPr>
          <w:b/>
          <w:bCs/>
          <w:color w:val="000000" w:themeColor="text1"/>
          <w:sz w:val="28"/>
          <w:szCs w:val="28"/>
          <w:lang w:val="uk-UA"/>
        </w:rPr>
        <w:t>"Fig. 1. Equipment Scheme.</w:t>
      </w:r>
      <w:r>
        <w:rPr>
          <w:color w:val="000000" w:themeColor="text1"/>
          <w:sz w:val="28"/>
          <w:szCs w:val="28"/>
          <w:lang w:val="uk-UA"/>
        </w:rPr>
        <w:t>" A blank line separates the figure from the text; all figures in the text must have</w:t>
      </w:r>
      <w:r>
        <w:rPr>
          <w:color w:val="000000" w:themeColor="text1"/>
          <w:sz w:val="28"/>
          <w:szCs w:val="28"/>
          <w:lang w:val="uk-UA"/>
        </w:rPr>
        <w:t xml:space="preserve"> references (Fig. 1). Tables are labeled </w:t>
      </w:r>
      <w:r>
        <w:rPr>
          <w:color w:val="000000" w:themeColor="text1"/>
          <w:sz w:val="28"/>
          <w:szCs w:val="28"/>
          <w:lang w:val="uk-UA"/>
        </w:rPr>
        <w:lastRenderedPageBreak/>
        <w:t xml:space="preserve">with the word "Table," numbered with Arabic numerals. Tables are separated from the text of the abstracts by a blank line. </w:t>
      </w:r>
      <w:r>
        <w:rPr>
          <w:i/>
          <w:iCs/>
          <w:color w:val="000000" w:themeColor="text1"/>
          <w:sz w:val="28"/>
          <w:szCs w:val="28"/>
          <w:lang w:val="uk-UA"/>
        </w:rPr>
        <w:t>Example:</w:t>
      </w:r>
    </w:p>
    <w:p w:rsidR="006E5790" w:rsidRDefault="009F1991">
      <w:pPr>
        <w:pStyle w:val="aa"/>
        <w:spacing w:after="0" w:line="240" w:lineRule="auto"/>
        <w:ind w:left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Table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 </w:t>
      </w:r>
    </w:p>
    <w:p w:rsidR="006E5790" w:rsidRDefault="009F1991">
      <w:pPr>
        <w:pStyle w:val="aa"/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ADVANTAGES AND DISADVANTAGES OF EXISTING PRICING STRATEGIES</w:t>
      </w:r>
    </w:p>
    <w:tbl>
      <w:tblPr>
        <w:tblStyle w:val="a9"/>
        <w:tblW w:w="0" w:type="auto"/>
        <w:tblInd w:w="709" w:type="dxa"/>
        <w:tblLook w:val="04A0" w:firstRow="1" w:lastRow="0" w:firstColumn="1" w:lastColumn="0" w:noHBand="0" w:noVBand="1"/>
      </w:tblPr>
      <w:tblGrid>
        <w:gridCol w:w="2801"/>
        <w:gridCol w:w="2552"/>
        <w:gridCol w:w="3685"/>
      </w:tblGrid>
      <w:tr w:rsidR="006E5790">
        <w:tc>
          <w:tcPr>
            <w:tcW w:w="2801" w:type="dxa"/>
          </w:tcPr>
          <w:p w:rsidR="006E5790" w:rsidRDefault="009F199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Pricing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Strategy</w:t>
            </w:r>
          </w:p>
        </w:tc>
        <w:tc>
          <w:tcPr>
            <w:tcW w:w="2552" w:type="dxa"/>
          </w:tcPr>
          <w:p w:rsidR="006E5790" w:rsidRDefault="009F199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Advantages</w:t>
            </w:r>
          </w:p>
        </w:tc>
        <w:tc>
          <w:tcPr>
            <w:tcW w:w="3685" w:type="dxa"/>
          </w:tcPr>
          <w:p w:rsidR="006E5790" w:rsidRDefault="009F199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Disadvantages</w:t>
            </w:r>
          </w:p>
        </w:tc>
      </w:tr>
      <w:tr w:rsidR="006E5790">
        <w:tc>
          <w:tcPr>
            <w:tcW w:w="2801" w:type="dxa"/>
          </w:tcPr>
          <w:p w:rsidR="006E5790" w:rsidRDefault="006E579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6E5790" w:rsidRDefault="006E579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6E5790" w:rsidRDefault="006E579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E5790" w:rsidRDefault="006E5790">
      <w:pPr>
        <w:pStyle w:val="aa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E5790" w:rsidRPr="004E4F8A" w:rsidRDefault="009F1991">
      <w:pPr>
        <w:pStyle w:val="Default"/>
        <w:jc w:val="center"/>
        <w:rPr>
          <w:color w:val="000000" w:themeColor="text1"/>
          <w:sz w:val="28"/>
          <w:szCs w:val="28"/>
          <w:lang w:val="en-US"/>
        </w:rPr>
      </w:pPr>
      <w:r w:rsidRPr="004E4F8A">
        <w:rPr>
          <w:color w:val="000000" w:themeColor="text1"/>
          <w:sz w:val="28"/>
          <w:szCs w:val="28"/>
          <w:lang w:val="en-US"/>
        </w:rPr>
        <w:t>All tables in the text should have references (Table 1)</w:t>
      </w:r>
    </w:p>
    <w:p w:rsidR="006E5790" w:rsidRDefault="009F1991">
      <w:pPr>
        <w:pStyle w:val="Default"/>
        <w:jc w:val="center"/>
        <w:rPr>
          <w:b/>
          <w:bCs/>
          <w:i/>
          <w:color w:val="000000" w:themeColor="text1"/>
          <w:sz w:val="28"/>
          <w:szCs w:val="28"/>
          <w:lang w:val="uk-UA"/>
        </w:rPr>
      </w:pPr>
      <w:r>
        <w:rPr>
          <w:b/>
          <w:bCs/>
          <w:i/>
          <w:color w:val="000000" w:themeColor="text1"/>
          <w:sz w:val="28"/>
          <w:szCs w:val="28"/>
          <w:lang w:val="uk-UA"/>
        </w:rPr>
        <w:t>Structure of Abstracts:</w:t>
      </w:r>
    </w:p>
    <w:p w:rsidR="006E5790" w:rsidRDefault="009F1991">
      <w:pPr>
        <w:pStyle w:val="Default"/>
        <w:numPr>
          <w:ilvl w:val="0"/>
          <w:numId w:val="3"/>
        </w:num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UDC (left-aligned). Determining the UDC is advisable on the website: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hyperlink r:id="rId19" w:history="1">
        <w:r>
          <w:rPr>
            <w:rStyle w:val="a4"/>
            <w:color w:val="000000" w:themeColor="text1"/>
            <w:sz w:val="28"/>
            <w:szCs w:val="28"/>
            <w:lang w:val="uk-UA"/>
          </w:rPr>
          <w:t>https://udcsummary.info/php/index.php?lang=uk</w:t>
        </w:r>
      </w:hyperlink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6E5790" w:rsidRDefault="009F1991">
      <w:pPr>
        <w:pStyle w:val="Default"/>
        <w:numPr>
          <w:ilvl w:val="0"/>
          <w:numId w:val="3"/>
        </w:num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Title of the abstract - in uppercase letters, bold font, center-aligned.</w:t>
      </w:r>
    </w:p>
    <w:p w:rsidR="006E5790" w:rsidRDefault="009F1991">
      <w:pPr>
        <w:pStyle w:val="Default"/>
        <w:numPr>
          <w:ilvl w:val="0"/>
          <w:numId w:val="3"/>
        </w:num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Last names and initials of authors (semi-bold font, right-aligned), academic degree, position, academic title - right-aligned.</w:t>
      </w:r>
    </w:p>
    <w:p w:rsidR="006E5790" w:rsidRDefault="009F1991">
      <w:pPr>
        <w:pStyle w:val="Default"/>
        <w:numPr>
          <w:ilvl w:val="0"/>
          <w:numId w:val="3"/>
        </w:num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Insti</w:t>
      </w:r>
      <w:r>
        <w:rPr>
          <w:color w:val="000000" w:themeColor="text1"/>
          <w:sz w:val="28"/>
          <w:szCs w:val="28"/>
          <w:lang w:val="uk-UA"/>
        </w:rPr>
        <w:t>tution, city - in italics, right-aligned.</w:t>
      </w:r>
    </w:p>
    <w:p w:rsidR="006E5790" w:rsidRDefault="009F1991">
      <w:pPr>
        <w:pStyle w:val="Default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6E5790" w:rsidRDefault="009F1991">
      <w:pPr>
        <w:pStyle w:val="Default"/>
        <w:ind w:firstLine="709"/>
        <w:jc w:val="both"/>
        <w:rPr>
          <w:i/>
          <w:iCs/>
          <w:color w:val="000000" w:themeColor="text1"/>
          <w:sz w:val="28"/>
          <w:szCs w:val="28"/>
          <w:lang w:val="uk-UA"/>
        </w:rPr>
      </w:pPr>
      <w:r>
        <w:rPr>
          <w:i/>
          <w:iCs/>
          <w:color w:val="000000" w:themeColor="text1"/>
          <w:sz w:val="28"/>
          <w:szCs w:val="28"/>
          <w:lang w:val="uk-UA"/>
        </w:rPr>
        <w:t>Formatting templates for abstracts are provided below.</w:t>
      </w:r>
    </w:p>
    <w:p w:rsidR="006E5790" w:rsidRDefault="006E5790">
      <w:pPr>
        <w:pStyle w:val="Default"/>
        <w:spacing w:line="240" w:lineRule="exact"/>
        <w:ind w:firstLine="709"/>
        <w:jc w:val="both"/>
        <w:rPr>
          <w:i/>
          <w:iCs/>
          <w:color w:val="000000" w:themeColor="text1"/>
          <w:sz w:val="28"/>
          <w:szCs w:val="28"/>
          <w:lang w:val="uk-UA"/>
        </w:rPr>
      </w:pPr>
    </w:p>
    <w:p w:rsidR="006E5790" w:rsidRDefault="009F1991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i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u w:val="single"/>
        </w:rPr>
        <w:t xml:space="preserve">FORMAT TEMPLATE FOR ABSTRACT </w:t>
      </w:r>
    </w:p>
    <w:p w:rsidR="006E5790" w:rsidRDefault="009F1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426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UDC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691.7:339.13.017</w:t>
      </w:r>
    </w:p>
    <w:p w:rsidR="006E5790" w:rsidRDefault="009F1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COMMODITY AND MARKETING ASPECTS OF METAL PRODUCTS MARKET RESEARCH</w:t>
      </w:r>
    </w:p>
    <w:p w:rsidR="006E5790" w:rsidRDefault="006E5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E5790" w:rsidRDefault="009F1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  <w:lang w:val="en-US"/>
        </w:rPr>
        <w:t>Petro Zakharchenko</w:t>
      </w: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, </w:t>
      </w:r>
      <w:bookmarkStart w:id="4" w:name="_Hlk114084053"/>
    </w:p>
    <w:bookmarkEnd w:id="4"/>
    <w:p w:rsidR="006E5790" w:rsidRDefault="009F1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val="en-US"/>
        </w:rPr>
        <w:t>Cand. of tech. s.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en-US"/>
        </w:rPr>
        <w:t xml:space="preserve">Head of the Department of Commodity Science and </w:t>
      </w:r>
    </w:p>
    <w:p w:rsidR="006E5790" w:rsidRDefault="009F1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val="en-US"/>
        </w:rPr>
        <w:t>Commercial Activities in Construction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en-US"/>
        </w:rPr>
        <w:t>Professor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</w:p>
    <w:p w:rsidR="006E5790" w:rsidRDefault="009F1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en-US"/>
        </w:rPr>
        <w:t>Iryna Ogorodnik</w:t>
      </w: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, </w:t>
      </w:r>
    </w:p>
    <w:p w:rsidR="006E5790" w:rsidRDefault="009F1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val="en-US"/>
        </w:rPr>
        <w:t>Cand. of tech. s.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en-US"/>
        </w:rPr>
        <w:t>Associate professor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en-US"/>
        </w:rPr>
        <w:t xml:space="preserve">of the Department of Commodity Science </w:t>
      </w:r>
    </w:p>
    <w:p w:rsidR="006E5790" w:rsidRDefault="009F1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val="en-US"/>
        </w:rPr>
        <w:t>a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en-US"/>
        </w:rPr>
        <w:t>nd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en-US"/>
        </w:rPr>
        <w:t>Commercial Activities in Construction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en-US"/>
        </w:rPr>
        <w:t xml:space="preserve">Associate 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en-US"/>
        </w:rPr>
        <w:t>professor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</w:p>
    <w:p w:rsidR="006E5790" w:rsidRDefault="009F1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851"/>
        <w:jc w:val="right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Kyiv National University of Construction and Architecture (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Kyiv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</w:p>
    <w:p w:rsidR="006E5790" w:rsidRDefault="006E5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E5790" w:rsidRDefault="009F1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Text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Text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Text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Text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Text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4F8A">
        <w:rPr>
          <w:rFonts w:ascii="Times New Roman" w:hAnsi="Times New Roman"/>
          <w:color w:val="000000" w:themeColor="text1"/>
          <w:sz w:val="28"/>
          <w:szCs w:val="28"/>
          <w:lang w:val="en-US"/>
        </w:rPr>
        <w:t>[1].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Text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Text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Text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Text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Text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4F8A">
        <w:rPr>
          <w:rFonts w:ascii="Times New Roman" w:hAnsi="Times New Roman"/>
          <w:color w:val="000000" w:themeColor="text1"/>
          <w:sz w:val="28"/>
          <w:szCs w:val="28"/>
          <w:lang w:val="en-US"/>
        </w:rPr>
        <w:t>[2]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Text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Text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Text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Text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Text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Text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Text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Text</w:t>
      </w:r>
      <w:r w:rsidRPr="004E4F8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[3].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Text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Text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Text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Text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Text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Text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Text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[4].</w:t>
      </w:r>
    </w:p>
    <w:p w:rsidR="006E5790" w:rsidRDefault="009F1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References</w:t>
      </w:r>
    </w:p>
    <w:p w:rsidR="006E5790" w:rsidRDefault="009F1991">
      <w:pPr>
        <w:pStyle w:val="a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Ukrainian Business in Wartime: State Analysis for Five Months // Business.diia: website. URL: </w:t>
      </w:r>
      <w:hyperlink r:id="rId20" w:tgtFrame="https://chat.openai.com/c/_new" w:history="1">
        <w:r>
          <w:rPr>
            <w:rFonts w:ascii="Times New Roman" w:hAnsi="Times New Roman"/>
            <w:bCs/>
            <w:color w:val="000000" w:themeColor="text1"/>
            <w:sz w:val="28"/>
            <w:szCs w:val="28"/>
          </w:rPr>
          <w:t>https://business.diia.gov.ua/</w:t>
        </w:r>
      </w:hyperlink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(accessed on: January 4, 2024).</w:t>
      </w:r>
    </w:p>
    <w:p w:rsidR="006E5790" w:rsidRDefault="009F1991">
      <w:pPr>
        <w:pStyle w:val="a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Kramarchuk A.P., Illynytskyi B.M., Bobalo T.V. Building Constructions. Lviv: Lviv Polytechnic, 2016. 166 p.</w:t>
      </w:r>
    </w:p>
    <w:p w:rsidR="006E5790" w:rsidRDefault="009F1991">
      <w:pPr>
        <w:pStyle w:val="a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Hots V., Lastovka O., Kovalchuk O. Technology of Manufacturing Decorative Protectiv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e Powder Coatings for the Protection of Building Metal Products. </w:t>
      </w:r>
      <w:r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Building Materials and Products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 2019. No. 2 (100). P. 60‒64.</w:t>
      </w:r>
    </w:p>
    <w:p w:rsidR="006E5790" w:rsidRDefault="009F1991">
      <w:pPr>
        <w:pStyle w:val="a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DSTU 2643-94. Steel and Cast Iron Pipes. Terms and Definitions. [Effective from 1995-07-01]. Official edition. Kyiv: State Enterp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rise "UkrNDNC," 1995. 20 p.</w:t>
      </w:r>
    </w:p>
    <w:p w:rsidR="006E5790" w:rsidRDefault="006E57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E5790" w:rsidRDefault="009F1991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FORMAT TEMPLATE FOR ABSTRACTS (for applicants in collaboration with a research supervisor)</w:t>
      </w:r>
    </w:p>
    <w:p w:rsidR="006E5790" w:rsidRDefault="009F1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426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UDC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691.7:339.13.017</w:t>
      </w:r>
    </w:p>
    <w:p w:rsidR="006E5790" w:rsidRDefault="009F1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INNOVATIVE MATERIALS FOR INTERIOR DECORATION</w:t>
      </w:r>
    </w:p>
    <w:p w:rsidR="006E5790" w:rsidRDefault="006E5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E5790" w:rsidRDefault="009F1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  <w:lang w:val="en-US"/>
        </w:rPr>
        <w:t>Petro Zakharchenko</w:t>
      </w: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, </w:t>
      </w:r>
    </w:p>
    <w:p w:rsidR="006E5790" w:rsidRDefault="009F1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val="en-US"/>
        </w:rPr>
        <w:t>Cand. of tech. s.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en-US"/>
        </w:rPr>
        <w:t xml:space="preserve">Head of the Department of Commodity Science and </w:t>
      </w:r>
    </w:p>
    <w:p w:rsidR="006E5790" w:rsidRDefault="009F1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val="en-US"/>
        </w:rPr>
        <w:t>Commercial Activities in Construction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en-US"/>
        </w:rPr>
        <w:t>Professor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</w:p>
    <w:p w:rsidR="006E5790" w:rsidRDefault="009F1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en-US"/>
        </w:rPr>
        <w:t>Artem Stadnyk</w:t>
      </w: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,</w:t>
      </w:r>
    </w:p>
    <w:p w:rsidR="006E5790" w:rsidRDefault="009F1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851"/>
        <w:jc w:val="right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Student of the first (bachelor's) level of higher education program 'Commodity Science and Commercial Activity,' </w:t>
      </w:r>
    </w:p>
    <w:p w:rsidR="006E5790" w:rsidRDefault="009F1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851"/>
        <w:jc w:val="right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specialization 076 'Entrepreneurship and Trade' </w:t>
      </w:r>
    </w:p>
    <w:p w:rsidR="006E5790" w:rsidRDefault="009F1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851"/>
        <w:jc w:val="right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Kyiv National University of Construction and Architecture, Kyiv</w:t>
      </w:r>
    </w:p>
    <w:p w:rsidR="006E5790" w:rsidRDefault="006E5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E5790" w:rsidRPr="004E4F8A" w:rsidRDefault="009F1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Text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Text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Text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Text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Text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4F8A">
        <w:rPr>
          <w:rFonts w:ascii="Times New Roman" w:hAnsi="Times New Roman"/>
          <w:color w:val="000000" w:themeColor="text1"/>
          <w:sz w:val="28"/>
          <w:szCs w:val="28"/>
          <w:lang w:val="en-US"/>
        </w:rPr>
        <w:t>[1].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Text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Text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Text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Text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Text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4F8A">
        <w:rPr>
          <w:rFonts w:ascii="Times New Roman" w:hAnsi="Times New Roman"/>
          <w:color w:val="000000" w:themeColor="text1"/>
          <w:sz w:val="28"/>
          <w:szCs w:val="28"/>
          <w:lang w:val="en-US"/>
        </w:rPr>
        <w:t>[2]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Text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Text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Text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Text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Text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Text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Text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Text</w:t>
      </w:r>
      <w:r w:rsidRPr="004E4F8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[3].</w:t>
      </w:r>
    </w:p>
    <w:p w:rsidR="006E5790" w:rsidRDefault="006E5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E5790" w:rsidRDefault="009F1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References</w:t>
      </w:r>
    </w:p>
    <w:p w:rsidR="006E5790" w:rsidRDefault="009F1991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Market Overview of Construction Materials. Construction Forecast for 2023. URL: </w:t>
      </w:r>
      <w:hyperlink r:id="rId21" w:tgtFrame="https://chat.openai.com/c/_new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https://construction-market.korfor.com.ua/prohnoz-budivnytstva/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(accessed on: October 24, 2023).</w:t>
      </w:r>
    </w:p>
    <w:p w:rsidR="006E5790" w:rsidRDefault="009F1991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On the Provision of Building Products in the Market: Law of Ukraine dated September 2, 2020, No. 850‒IX. Last updated: June 9, 2022. URL: </w:t>
      </w:r>
      <w:hyperlink r:id="rId22" w:anchor="Text" w:tgtFrame="https://chat.openai.com/c/_new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https://zakon.rada.gov.ua/laws/show/850-20#Text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(accessed on: October 24, 2023).</w:t>
      </w:r>
    </w:p>
    <w:p w:rsidR="006E5790" w:rsidRDefault="009F1991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Za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k</w:t>
      </w:r>
      <w:r>
        <w:rPr>
          <w:rFonts w:ascii="Times New Roman" w:hAnsi="Times New Roman"/>
          <w:color w:val="000000" w:themeColor="text1"/>
          <w:sz w:val="28"/>
          <w:szCs w:val="28"/>
        </w:rPr>
        <w:t>harchenko P. V., Lenga H., Havrysh O. M., Piven N. M. Technology and Commodity Scienc</w:t>
      </w:r>
      <w:r>
        <w:rPr>
          <w:rFonts w:ascii="Times New Roman" w:hAnsi="Times New Roman"/>
          <w:color w:val="000000" w:themeColor="text1"/>
          <w:sz w:val="28"/>
          <w:szCs w:val="28"/>
        </w:rPr>
        <w:t>e of Dry Construction Systems: a textbook. Kyiv: SPD Pavlenko, 2009. 464 p.</w:t>
      </w:r>
    </w:p>
    <w:p w:rsidR="006E5790" w:rsidRDefault="009F1991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Lialina N. P., Moroz O. I. Analysis of Prospects for the Use of Hemp Raw Materials in the Construction Business. </w:t>
      </w: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Issues of Genesis of the Economy of Intellectual-Innovative Capital</w:t>
      </w:r>
      <w:r>
        <w:rPr>
          <w:rFonts w:ascii="Times New Roman" w:hAnsi="Times New Roman"/>
          <w:color w:val="000000" w:themeColor="text1"/>
          <w:sz w:val="28"/>
          <w:szCs w:val="28"/>
        </w:rPr>
        <w:t>: materials of the III Int. Sci.-Practical Conf. (Kyiv, Nov 7‒8, 2023). Kyiv: KNUBA, 2023. P. 234‒236.</w:t>
      </w:r>
    </w:p>
    <w:p w:rsidR="006E5790" w:rsidRDefault="006E579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E5790" w:rsidRDefault="009F1991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PUBLICATION OF CONFERENCE MATERIALS</w:t>
      </w:r>
    </w:p>
    <w:p w:rsidR="006E5790" w:rsidRDefault="009F1991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All conference participants will receive conference materials in .pdf format and a participant certificate (6 hours </w:t>
      </w:r>
      <w:r>
        <w:rPr>
          <w:rFonts w:ascii="Times New Roman" w:hAnsi="Times New Roman"/>
          <w:color w:val="000000" w:themeColor="text1"/>
          <w:sz w:val="28"/>
          <w:szCs w:val="28"/>
        </w:rPr>
        <w:t>of participation / 0.2 ECTS credits).</w:t>
      </w:r>
    </w:p>
    <w:p w:rsidR="006E5790" w:rsidRDefault="006E5790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E5790" w:rsidRDefault="009F1991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CONTACTS</w:t>
      </w:r>
    </w:p>
    <w:p w:rsidR="006E5790" w:rsidRDefault="009F1991">
      <w:pPr>
        <w:spacing w:after="0" w:line="240" w:lineRule="auto"/>
        <w:ind w:firstLine="4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Mailing address: Kyiv National University of Construction and Architecture, Department of Commodity Science and Commercial Activities in Construction, 31 Povitroflotsky Avenue, Room 362 (extension), Kyiv, Ukr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aine, 03037. </w:t>
      </w:r>
    </w:p>
    <w:p w:rsidR="006E5790" w:rsidRDefault="009F1991">
      <w:pPr>
        <w:spacing w:after="0" w:line="240" w:lineRule="auto"/>
        <w:ind w:firstLine="4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Email: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conf.tkd.bud@gmail.com </w:t>
      </w:r>
    </w:p>
    <w:p w:rsidR="006E5790" w:rsidRDefault="009F1991">
      <w:pPr>
        <w:spacing w:after="0" w:line="240" w:lineRule="auto"/>
        <w:ind w:firstLine="4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Responsible Secretary of the Organizing Committee - Olga Yudicheva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E5790" w:rsidRPr="004E4F8A" w:rsidRDefault="009F1991">
      <w:pPr>
        <w:spacing w:after="0" w:line="240" w:lineRule="auto"/>
        <w:ind w:firstLine="44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Tel. +380662937137; Viber; Telegram</w:t>
      </w:r>
    </w:p>
    <w:p w:rsidR="006E5790" w:rsidRDefault="006E579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E5790" w:rsidRDefault="006E579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E5790" w:rsidRDefault="009F199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APPLICATION </w:t>
      </w:r>
    </w:p>
    <w:p w:rsidR="006E5790" w:rsidRDefault="009F199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for participation in the V International Scientific-Practical Internet Conference "Marketing Strategies, Entrepreneurship, and Trade: Current State, Development Trends" </w:t>
      </w:r>
    </w:p>
    <w:p w:rsidR="006E5790" w:rsidRDefault="009F199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April 18, 2024 </w:t>
      </w:r>
    </w:p>
    <w:p w:rsidR="006E5790" w:rsidRDefault="009F1991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Kyiv</w:t>
      </w:r>
    </w:p>
    <w:tbl>
      <w:tblPr>
        <w:tblW w:w="9043" w:type="dxa"/>
        <w:tblInd w:w="137" w:type="dxa"/>
        <w:tblLook w:val="04A0" w:firstRow="1" w:lastRow="0" w:firstColumn="1" w:lastColumn="0" w:noHBand="0" w:noVBand="1"/>
      </w:tblPr>
      <w:tblGrid>
        <w:gridCol w:w="9043"/>
      </w:tblGrid>
      <w:tr w:rsidR="006E5790">
        <w:tc>
          <w:tcPr>
            <w:tcW w:w="9043" w:type="dxa"/>
          </w:tcPr>
          <w:p w:rsidR="006E5790" w:rsidRDefault="009F19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Last name, first name, patronymic</w:t>
            </w:r>
          </w:p>
        </w:tc>
      </w:tr>
      <w:tr w:rsidR="006E5790">
        <w:tc>
          <w:tcPr>
            <w:tcW w:w="9043" w:type="dxa"/>
          </w:tcPr>
          <w:p w:rsidR="006E5790" w:rsidRDefault="009F19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Academic degree</w:t>
            </w:r>
          </w:p>
        </w:tc>
      </w:tr>
      <w:tr w:rsidR="006E5790">
        <w:tc>
          <w:tcPr>
            <w:tcW w:w="9043" w:type="dxa"/>
          </w:tcPr>
          <w:p w:rsidR="006E5790" w:rsidRDefault="009F19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Academic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status</w:t>
            </w:r>
          </w:p>
        </w:tc>
      </w:tr>
      <w:tr w:rsidR="006E5790">
        <w:tc>
          <w:tcPr>
            <w:tcW w:w="9043" w:type="dxa"/>
          </w:tcPr>
          <w:p w:rsidR="006E5790" w:rsidRDefault="009F19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Position</w:t>
            </w:r>
          </w:p>
        </w:tc>
      </w:tr>
      <w:tr w:rsidR="006E5790">
        <w:tc>
          <w:tcPr>
            <w:tcW w:w="9043" w:type="dxa"/>
          </w:tcPr>
          <w:p w:rsidR="006E5790" w:rsidRDefault="009F19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Level of higher education, educational program, specialization (for co-authors - higher education applicants)</w:t>
            </w:r>
          </w:p>
        </w:tc>
      </w:tr>
      <w:tr w:rsidR="006E5790">
        <w:tc>
          <w:tcPr>
            <w:tcW w:w="9043" w:type="dxa"/>
          </w:tcPr>
          <w:p w:rsidR="006E5790" w:rsidRDefault="009F19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Place of work (study)</w:t>
            </w:r>
          </w:p>
        </w:tc>
      </w:tr>
      <w:tr w:rsidR="006E5790">
        <w:tc>
          <w:tcPr>
            <w:tcW w:w="9043" w:type="dxa"/>
          </w:tcPr>
          <w:p w:rsidR="006E5790" w:rsidRDefault="009F19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Title of the thematic direction </w:t>
            </w:r>
          </w:p>
        </w:tc>
      </w:tr>
      <w:tr w:rsidR="006E5790">
        <w:tc>
          <w:tcPr>
            <w:tcW w:w="9043" w:type="dxa"/>
          </w:tcPr>
          <w:p w:rsidR="006E5790" w:rsidRDefault="009F19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Title of the abstracts</w:t>
            </w:r>
          </w:p>
        </w:tc>
      </w:tr>
      <w:tr w:rsidR="006E5790">
        <w:tc>
          <w:tcPr>
            <w:tcW w:w="9043" w:type="dxa"/>
          </w:tcPr>
          <w:p w:rsidR="006E5790" w:rsidRDefault="009F19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Email, contact phone number</w:t>
            </w:r>
          </w:p>
        </w:tc>
      </w:tr>
    </w:tbl>
    <w:p w:rsidR="006E5790" w:rsidRDefault="006E579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6E57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991" w:rsidRDefault="009F1991">
      <w:pPr>
        <w:spacing w:line="240" w:lineRule="auto"/>
      </w:pPr>
      <w:r>
        <w:separator/>
      </w:r>
    </w:p>
  </w:endnote>
  <w:endnote w:type="continuationSeparator" w:id="0">
    <w:p w:rsidR="009F1991" w:rsidRDefault="009F19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Calibri Light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991" w:rsidRDefault="009F1991">
      <w:pPr>
        <w:spacing w:after="0"/>
      </w:pPr>
      <w:r>
        <w:separator/>
      </w:r>
    </w:p>
  </w:footnote>
  <w:footnote w:type="continuationSeparator" w:id="0">
    <w:p w:rsidR="009F1991" w:rsidRDefault="009F19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28BC4B"/>
    <w:multiLevelType w:val="singleLevel"/>
    <w:tmpl w:val="8C28BC4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A38F4430"/>
    <w:multiLevelType w:val="singleLevel"/>
    <w:tmpl w:val="A38F4430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27537DFF"/>
    <w:multiLevelType w:val="singleLevel"/>
    <w:tmpl w:val="27537DFF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3" w15:restartNumberingAfterBreak="0">
    <w:nsid w:val="3DE36E14"/>
    <w:multiLevelType w:val="multilevel"/>
    <w:tmpl w:val="3DE36E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67B1BE0"/>
    <w:multiLevelType w:val="multilevel"/>
    <w:tmpl w:val="467B1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DE2"/>
    <w:rsid w:val="00027431"/>
    <w:rsid w:val="00027D23"/>
    <w:rsid w:val="00043B5C"/>
    <w:rsid w:val="00052451"/>
    <w:rsid w:val="0005493F"/>
    <w:rsid w:val="00061303"/>
    <w:rsid w:val="000A08FC"/>
    <w:rsid w:val="000A234C"/>
    <w:rsid w:val="000C60B6"/>
    <w:rsid w:val="000C70FF"/>
    <w:rsid w:val="000D2A66"/>
    <w:rsid w:val="000E2A90"/>
    <w:rsid w:val="000E2DC7"/>
    <w:rsid w:val="000F5F1F"/>
    <w:rsid w:val="000F68E2"/>
    <w:rsid w:val="000F72F3"/>
    <w:rsid w:val="001024C1"/>
    <w:rsid w:val="0010603C"/>
    <w:rsid w:val="00113577"/>
    <w:rsid w:val="00115706"/>
    <w:rsid w:val="00124778"/>
    <w:rsid w:val="00144625"/>
    <w:rsid w:val="00147558"/>
    <w:rsid w:val="0015106D"/>
    <w:rsid w:val="00153C13"/>
    <w:rsid w:val="001577D7"/>
    <w:rsid w:val="001624DE"/>
    <w:rsid w:val="0016282E"/>
    <w:rsid w:val="0017268B"/>
    <w:rsid w:val="00172BE7"/>
    <w:rsid w:val="0018399D"/>
    <w:rsid w:val="001A4A89"/>
    <w:rsid w:val="001A6BBF"/>
    <w:rsid w:val="001B034F"/>
    <w:rsid w:val="001B1877"/>
    <w:rsid w:val="001D3A0D"/>
    <w:rsid w:val="001D5604"/>
    <w:rsid w:val="001D7E0A"/>
    <w:rsid w:val="001F6DE2"/>
    <w:rsid w:val="002018CF"/>
    <w:rsid w:val="00216EFE"/>
    <w:rsid w:val="0022409A"/>
    <w:rsid w:val="00237CE5"/>
    <w:rsid w:val="00243C5A"/>
    <w:rsid w:val="0024609A"/>
    <w:rsid w:val="00267E11"/>
    <w:rsid w:val="00274DB7"/>
    <w:rsid w:val="00277189"/>
    <w:rsid w:val="002815A3"/>
    <w:rsid w:val="00297E92"/>
    <w:rsid w:val="002C0B31"/>
    <w:rsid w:val="002C4FAF"/>
    <w:rsid w:val="002D2E84"/>
    <w:rsid w:val="003030FC"/>
    <w:rsid w:val="00331382"/>
    <w:rsid w:val="00331718"/>
    <w:rsid w:val="00350244"/>
    <w:rsid w:val="0037065E"/>
    <w:rsid w:val="00373AC9"/>
    <w:rsid w:val="003837B6"/>
    <w:rsid w:val="00390BC7"/>
    <w:rsid w:val="00391374"/>
    <w:rsid w:val="003A0342"/>
    <w:rsid w:val="003B5F08"/>
    <w:rsid w:val="003C26E6"/>
    <w:rsid w:val="003F5761"/>
    <w:rsid w:val="003F7B21"/>
    <w:rsid w:val="00431A8A"/>
    <w:rsid w:val="00436E64"/>
    <w:rsid w:val="0044798A"/>
    <w:rsid w:val="00456D9B"/>
    <w:rsid w:val="0047191E"/>
    <w:rsid w:val="00471952"/>
    <w:rsid w:val="00471F2B"/>
    <w:rsid w:val="004853F7"/>
    <w:rsid w:val="00485F5F"/>
    <w:rsid w:val="004A7553"/>
    <w:rsid w:val="004B0689"/>
    <w:rsid w:val="004C52E1"/>
    <w:rsid w:val="004D2915"/>
    <w:rsid w:val="004D5914"/>
    <w:rsid w:val="004E4F8A"/>
    <w:rsid w:val="004F34F3"/>
    <w:rsid w:val="0051418B"/>
    <w:rsid w:val="005257A7"/>
    <w:rsid w:val="00527BC4"/>
    <w:rsid w:val="005346A0"/>
    <w:rsid w:val="005629C8"/>
    <w:rsid w:val="00562ED9"/>
    <w:rsid w:val="00564F0E"/>
    <w:rsid w:val="005C21AD"/>
    <w:rsid w:val="005D0399"/>
    <w:rsid w:val="005E3922"/>
    <w:rsid w:val="00627000"/>
    <w:rsid w:val="00634628"/>
    <w:rsid w:val="00635D66"/>
    <w:rsid w:val="0065238C"/>
    <w:rsid w:val="00654087"/>
    <w:rsid w:val="00657D73"/>
    <w:rsid w:val="00663470"/>
    <w:rsid w:val="0067485A"/>
    <w:rsid w:val="006956E8"/>
    <w:rsid w:val="006A71A9"/>
    <w:rsid w:val="006C1BA8"/>
    <w:rsid w:val="006C5DE3"/>
    <w:rsid w:val="006D519B"/>
    <w:rsid w:val="006D5503"/>
    <w:rsid w:val="006D61A6"/>
    <w:rsid w:val="006D6610"/>
    <w:rsid w:val="006E5790"/>
    <w:rsid w:val="007060FC"/>
    <w:rsid w:val="00706D36"/>
    <w:rsid w:val="00732EA2"/>
    <w:rsid w:val="0073683C"/>
    <w:rsid w:val="00744778"/>
    <w:rsid w:val="00770FB5"/>
    <w:rsid w:val="007725AB"/>
    <w:rsid w:val="00775463"/>
    <w:rsid w:val="007A72B7"/>
    <w:rsid w:val="007C5D1A"/>
    <w:rsid w:val="007C72DA"/>
    <w:rsid w:val="007D28D4"/>
    <w:rsid w:val="007E19AF"/>
    <w:rsid w:val="007E3639"/>
    <w:rsid w:val="007F52D1"/>
    <w:rsid w:val="00817FA9"/>
    <w:rsid w:val="00826B3B"/>
    <w:rsid w:val="00831B00"/>
    <w:rsid w:val="00836B19"/>
    <w:rsid w:val="00837862"/>
    <w:rsid w:val="008429BC"/>
    <w:rsid w:val="0086152E"/>
    <w:rsid w:val="00892725"/>
    <w:rsid w:val="00894930"/>
    <w:rsid w:val="008A072C"/>
    <w:rsid w:val="008A23DD"/>
    <w:rsid w:val="008B70BA"/>
    <w:rsid w:val="008D40F8"/>
    <w:rsid w:val="008F7AB1"/>
    <w:rsid w:val="00905A79"/>
    <w:rsid w:val="00907712"/>
    <w:rsid w:val="0091048A"/>
    <w:rsid w:val="0091708D"/>
    <w:rsid w:val="00924D90"/>
    <w:rsid w:val="00926A99"/>
    <w:rsid w:val="00933923"/>
    <w:rsid w:val="009412AF"/>
    <w:rsid w:val="00976F94"/>
    <w:rsid w:val="00986DEB"/>
    <w:rsid w:val="009C55B4"/>
    <w:rsid w:val="009E2F49"/>
    <w:rsid w:val="009E4BE8"/>
    <w:rsid w:val="009F1991"/>
    <w:rsid w:val="00A01727"/>
    <w:rsid w:val="00A771A3"/>
    <w:rsid w:val="00A8292C"/>
    <w:rsid w:val="00AA5246"/>
    <w:rsid w:val="00AB3F2F"/>
    <w:rsid w:val="00AE15B9"/>
    <w:rsid w:val="00AF00AB"/>
    <w:rsid w:val="00AF0FD3"/>
    <w:rsid w:val="00B17684"/>
    <w:rsid w:val="00B20174"/>
    <w:rsid w:val="00B30C4C"/>
    <w:rsid w:val="00B327E9"/>
    <w:rsid w:val="00B400DE"/>
    <w:rsid w:val="00B5577A"/>
    <w:rsid w:val="00B55CAC"/>
    <w:rsid w:val="00B57DAF"/>
    <w:rsid w:val="00B62491"/>
    <w:rsid w:val="00B74FC4"/>
    <w:rsid w:val="00B82B55"/>
    <w:rsid w:val="00BB21D3"/>
    <w:rsid w:val="00BC10D8"/>
    <w:rsid w:val="00BC4062"/>
    <w:rsid w:val="00BD1AAD"/>
    <w:rsid w:val="00BF56AC"/>
    <w:rsid w:val="00C00DD5"/>
    <w:rsid w:val="00C07375"/>
    <w:rsid w:val="00C36D7B"/>
    <w:rsid w:val="00C71DEF"/>
    <w:rsid w:val="00C71E15"/>
    <w:rsid w:val="00C81213"/>
    <w:rsid w:val="00C82C36"/>
    <w:rsid w:val="00C86D73"/>
    <w:rsid w:val="00C904B8"/>
    <w:rsid w:val="00CA7CBF"/>
    <w:rsid w:val="00CB2B02"/>
    <w:rsid w:val="00CE5E41"/>
    <w:rsid w:val="00CF5950"/>
    <w:rsid w:val="00D25C39"/>
    <w:rsid w:val="00D3490D"/>
    <w:rsid w:val="00D36859"/>
    <w:rsid w:val="00D45B19"/>
    <w:rsid w:val="00D65FE4"/>
    <w:rsid w:val="00D67A22"/>
    <w:rsid w:val="00D7403B"/>
    <w:rsid w:val="00D74953"/>
    <w:rsid w:val="00D911AA"/>
    <w:rsid w:val="00D9379E"/>
    <w:rsid w:val="00DD6AD5"/>
    <w:rsid w:val="00E06412"/>
    <w:rsid w:val="00E2428C"/>
    <w:rsid w:val="00E307D1"/>
    <w:rsid w:val="00E36628"/>
    <w:rsid w:val="00E465F7"/>
    <w:rsid w:val="00E60FB4"/>
    <w:rsid w:val="00E7059B"/>
    <w:rsid w:val="00E7560A"/>
    <w:rsid w:val="00E76281"/>
    <w:rsid w:val="00E85189"/>
    <w:rsid w:val="00E949FA"/>
    <w:rsid w:val="00EC05AA"/>
    <w:rsid w:val="00EC0BF8"/>
    <w:rsid w:val="00EC2BAF"/>
    <w:rsid w:val="00ED21F0"/>
    <w:rsid w:val="00ED7DC2"/>
    <w:rsid w:val="00EF6387"/>
    <w:rsid w:val="00F2695C"/>
    <w:rsid w:val="00F45D6F"/>
    <w:rsid w:val="00F67502"/>
    <w:rsid w:val="00F70CC2"/>
    <w:rsid w:val="00F70D0B"/>
    <w:rsid w:val="00F73780"/>
    <w:rsid w:val="00F85D1E"/>
    <w:rsid w:val="00F9077C"/>
    <w:rsid w:val="00FB50FA"/>
    <w:rsid w:val="00FE6545"/>
    <w:rsid w:val="27763E4A"/>
    <w:rsid w:val="27E679C6"/>
    <w:rsid w:val="2EF61F19"/>
    <w:rsid w:val="3AA275C5"/>
    <w:rsid w:val="3C324565"/>
    <w:rsid w:val="4DDB6C76"/>
    <w:rsid w:val="6D0C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34BEAFA"/>
  <w15:docId w15:val="{11C1F81F-726E-4643-B985-AEC09681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spacing w:after="0" w:line="240" w:lineRule="auto"/>
    </w:pPr>
    <w:rPr>
      <w:rFonts w:ascii="Consolas" w:hAnsi="Consolas"/>
      <w:sz w:val="20"/>
      <w:szCs w:val="20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y2iqfc">
    <w:name w:val="y2iqfc"/>
    <w:basedOn w:val="a0"/>
    <w:qFormat/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nsolas" w:eastAsia="Times New Roman" w:hAnsi="Consolas" w:cs="Times New Roman"/>
      <w:sz w:val="20"/>
      <w:szCs w:val="20"/>
      <w:lang w:eastAsia="uk-UA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www.bibme.org/citation-guide/APA/book" TargetMode="External"/><Relationship Id="rId3" Type="http://schemas.openxmlformats.org/officeDocument/2006/relationships/styles" Target="styles.xml"/><Relationship Id="rId21" Type="http://schemas.openxmlformats.org/officeDocument/2006/relationships/hyperlink" Target="https://construction-market.korfor.com.ua/prohnoz-budivnytstva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conf.tkd.bud@gmail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s://business.diia.gov.u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udcsummary.info/php/index.php?lang=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zakon.rada.gov.ua/laws/show/850-2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9775</Words>
  <Characters>5572</Characters>
  <Application>Microsoft Office Word</Application>
  <DocSecurity>0</DocSecurity>
  <Lines>46</Lines>
  <Paragraphs>30</Paragraphs>
  <ScaleCrop>false</ScaleCrop>
  <Company/>
  <LinksUpToDate>false</LinksUpToDate>
  <CharactersWithSpaces>15317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Юдічева Ольга Петрівна</dc:creator>
  <cp:lastModifiedBy>Романенко Олеся</cp:lastModifiedBy>
  <cp:revision>216</cp:revision>
  <cp:lastPrinted>2022-10-04T17:36:00Z</cp:lastPrinted>
  <dcterms:created xsi:type="dcterms:W3CDTF">2022-09-20T15:45:00Z</dcterms:created>
  <dcterms:modified xsi:type="dcterms:W3CDTF">2024-06-24T19:14:00Z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b6f1aa35c4ebb45bd5159d726976d4f981c9086a1dca9d5cb9f5323e73b74cc6</vt:lpwstr>
  </property>
  <property fmtid="{D5CDD505-2E9C-101B-9397-08002B2CF9AE}" pid="3" name="KSOProductBuildVer">
    <vt:lpwstr>1049-12.2.0.13431</vt:lpwstr>
  </property>
  <property fmtid="{D5CDD505-2E9C-101B-9397-08002B2CF9AE}" pid="4" name="ICV">
    <vt:lpwstr>736C807D9F714FD1A84713ED1AF331B4_13</vt:lpwstr>
  </property>
</Properties>
</file>