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CD1AA" w14:textId="77777777" w:rsidR="00BF30DA" w:rsidRPr="00470AE5" w:rsidRDefault="00000000" w:rsidP="00470AE5">
      <w:pPr>
        <w:spacing w:line="276" w:lineRule="auto"/>
        <w:jc w:val="center"/>
      </w:pPr>
      <w:r w:rsidRPr="00470AE5">
        <w:rPr>
          <w:b/>
          <w:bCs/>
        </w:rPr>
        <w:t>ВІДГУК</w:t>
      </w:r>
    </w:p>
    <w:p w14:paraId="12C417FD" w14:textId="77777777" w:rsidR="00BF30DA" w:rsidRPr="00470AE5" w:rsidRDefault="00000000" w:rsidP="00470AE5">
      <w:pPr>
        <w:spacing w:line="276" w:lineRule="auto"/>
        <w:jc w:val="center"/>
      </w:pPr>
      <w:r w:rsidRPr="00470AE5">
        <w:t>офіційного опонента завідувача кафедри будівництва, урбаністики та просторового планування Східноукраїнського національного університету імені Володимира Даля, доктора технічних наук, професора</w:t>
      </w:r>
    </w:p>
    <w:p w14:paraId="07D9055A" w14:textId="77777777" w:rsidR="00BF30DA" w:rsidRPr="00470AE5" w:rsidRDefault="00000000" w:rsidP="00470AE5">
      <w:pPr>
        <w:spacing w:line="276" w:lineRule="auto"/>
        <w:jc w:val="center"/>
      </w:pPr>
      <w:r w:rsidRPr="00470AE5">
        <w:rPr>
          <w:b/>
          <w:bCs/>
        </w:rPr>
        <w:t>Татарченко Галини Олегівни</w:t>
      </w:r>
    </w:p>
    <w:p w14:paraId="59663AD8" w14:textId="77777777" w:rsidR="0048254C" w:rsidRDefault="00000000" w:rsidP="00470AE5">
      <w:pPr>
        <w:spacing w:line="276" w:lineRule="auto"/>
        <w:jc w:val="center"/>
        <w:rPr>
          <w:lang w:val="uk-UA"/>
        </w:rPr>
      </w:pPr>
      <w:r w:rsidRPr="00470AE5">
        <w:t xml:space="preserve">на дисертаційну роботу </w:t>
      </w:r>
      <w:r w:rsidRPr="00470AE5">
        <w:rPr>
          <w:b/>
          <w:bCs/>
        </w:rPr>
        <w:t>Козака Сергія Анатолійовича</w:t>
      </w:r>
      <w:r w:rsidRPr="00470AE5">
        <w:t xml:space="preserve"> </w:t>
      </w:r>
    </w:p>
    <w:p w14:paraId="3FD4EC95" w14:textId="77777777" w:rsidR="00CE2873" w:rsidRDefault="00000000" w:rsidP="00470AE5">
      <w:pPr>
        <w:spacing w:line="276" w:lineRule="auto"/>
        <w:jc w:val="center"/>
        <w:rPr>
          <w:lang w:val="uk-UA"/>
        </w:rPr>
      </w:pPr>
      <w:r w:rsidRPr="00470AE5">
        <w:t>«</w:t>
      </w:r>
      <w:r w:rsidRPr="00470AE5">
        <w:rPr>
          <w:b/>
          <w:bCs/>
        </w:rPr>
        <w:t>Принципи і методи визначення меж охоронних зон пам'яток архітектури</w:t>
      </w:r>
      <w:r w:rsidRPr="00470AE5">
        <w:t xml:space="preserve">», подану на здобуття наукового ступеня доктора філософії за спеціальністю 192 – «Будівництво та цивільна інженерія» </w:t>
      </w:r>
    </w:p>
    <w:p w14:paraId="134C35DF" w14:textId="0C915E22" w:rsidR="00470AE5" w:rsidRDefault="00000000" w:rsidP="00470AE5">
      <w:pPr>
        <w:spacing w:line="276" w:lineRule="auto"/>
        <w:jc w:val="center"/>
        <w:rPr>
          <w:lang w:val="uk-UA"/>
        </w:rPr>
      </w:pPr>
      <w:r w:rsidRPr="00470AE5">
        <w:t>(галузь знань 19 – Архітектура та будівництво)</w:t>
      </w:r>
    </w:p>
    <w:p w14:paraId="4C1F43FB" w14:textId="77777777" w:rsidR="00470AE5" w:rsidRDefault="00470AE5" w:rsidP="00470AE5">
      <w:pPr>
        <w:spacing w:line="276" w:lineRule="auto"/>
        <w:jc w:val="center"/>
        <w:rPr>
          <w:lang w:val="uk-UA"/>
        </w:rPr>
      </w:pPr>
    </w:p>
    <w:p w14:paraId="1FC63547" w14:textId="6DBB7909" w:rsidR="007724F1" w:rsidRPr="00470AE5" w:rsidRDefault="007724F1" w:rsidP="00470AE5">
      <w:pPr>
        <w:spacing w:line="276" w:lineRule="auto"/>
        <w:ind w:firstLine="851"/>
      </w:pPr>
      <w:r w:rsidRPr="00470AE5">
        <w:rPr>
          <w:b/>
          <w:bCs/>
          <w:color w:val="000000" w:themeColor="text1"/>
          <w:lang w:val="uk-UA"/>
        </w:rPr>
        <w:t>Актуальність теми дослідження</w:t>
      </w:r>
    </w:p>
    <w:p w14:paraId="17A2A09D" w14:textId="77777777" w:rsidR="00BF30DA" w:rsidRPr="00470AE5" w:rsidRDefault="00000000" w:rsidP="00470AE5">
      <w:pPr>
        <w:spacing w:line="276" w:lineRule="auto"/>
        <w:ind w:firstLine="709"/>
        <w:jc w:val="both"/>
      </w:pPr>
      <w:r w:rsidRPr="00470AE5">
        <w:t>Збереження культурної спадщини є одним із пріоритетних завдань сучасної містобудівної політики. В умовах активних містобудівних перетворень, ущільнення забудови історичних центрів міст та зростання поверховості нової забудови пам'ятки архітектури дедалі частіше потрапляють під загрозу втрати умов їх зорового сприйняття та композиційної ролі в середовищі. Охоронна зона пам'ятки за таких обставин має розглядатися як науково обґрунтований просторовий інструмент збереження традиційного характеру середовища та забезпечення оптимальних умов огляду пам'ятки.</w:t>
      </w:r>
    </w:p>
    <w:p w14:paraId="147AFBFC" w14:textId="77777777" w:rsidR="00CE2873" w:rsidRDefault="00000000" w:rsidP="00470AE5">
      <w:pPr>
        <w:spacing w:line="276" w:lineRule="auto"/>
        <w:ind w:firstLine="709"/>
        <w:jc w:val="both"/>
        <w:rPr>
          <w:lang w:val="uk-UA"/>
        </w:rPr>
      </w:pPr>
      <w:r w:rsidRPr="00470AE5">
        <w:t>Актуальність дисертаційної роботи Козака С. А. зумовлена тим, що в Україні досі відсутній чіткий, уніфікований та відтворюваний методичний підхід до визначення меж охоронних зон пам'яток архітектури, який ураховував би їхні об'ємно-просторові характеристики, умови зорового сприйняття та особливості розміщення в планувальній структурі населеного пункту. Унаслідок цього межі охоронних зон нерідко встановлюються без обґрунтованих кількісних критеріїв.</w:t>
      </w:r>
    </w:p>
    <w:p w14:paraId="19084C95" w14:textId="6684ECBD" w:rsidR="00470AE5" w:rsidRDefault="00000000" w:rsidP="00470AE5">
      <w:pPr>
        <w:spacing w:line="276" w:lineRule="auto"/>
        <w:ind w:firstLine="709"/>
        <w:jc w:val="both"/>
        <w:rPr>
          <w:lang w:val="uk-UA"/>
        </w:rPr>
      </w:pPr>
      <w:r w:rsidRPr="00470AE5">
        <w:t xml:space="preserve"> Дисертаційна робота присвячена вирішенню актуального наукового завдання – розробленню принципів і методів визначення меж охоронних зон пам'яток архітектури в різних умовах планування і забудови територій населених пунктів, що має важливе значення для практики охорони культурної спадщини, містобудівного проєктування та експертизи.</w:t>
      </w:r>
    </w:p>
    <w:p w14:paraId="25E33ED8" w14:textId="77777777" w:rsidR="00470AE5" w:rsidRDefault="00470AE5" w:rsidP="00470AE5">
      <w:pPr>
        <w:spacing w:line="276" w:lineRule="auto"/>
        <w:ind w:firstLine="709"/>
        <w:jc w:val="both"/>
        <w:rPr>
          <w:lang w:val="uk-UA"/>
        </w:rPr>
      </w:pPr>
    </w:p>
    <w:p w14:paraId="39C4C3CD" w14:textId="6E6EA600" w:rsidR="007724F1" w:rsidRPr="00470AE5" w:rsidRDefault="007724F1" w:rsidP="00470AE5">
      <w:pPr>
        <w:spacing w:line="276" w:lineRule="auto"/>
        <w:ind w:firstLine="709"/>
        <w:jc w:val="both"/>
      </w:pPr>
      <w:r w:rsidRPr="00470AE5">
        <w:rPr>
          <w:b/>
          <w:bCs/>
          <w:color w:val="000000" w:themeColor="text1"/>
          <w:lang w:val="uk-UA"/>
        </w:rPr>
        <w:t>Ступінь обґрунтованості та достовірності наукових положень, висновків і рекомендацій</w:t>
      </w:r>
    </w:p>
    <w:p w14:paraId="448EFE86" w14:textId="77777777" w:rsidR="00BF30DA" w:rsidRPr="0048254C" w:rsidRDefault="00000000" w:rsidP="00470AE5">
      <w:pPr>
        <w:spacing w:line="276" w:lineRule="auto"/>
        <w:ind w:firstLine="709"/>
        <w:jc w:val="both"/>
      </w:pPr>
      <w:r w:rsidRPr="00470AE5">
        <w:t xml:space="preserve">Дисертаційну роботу виконано в Київському національному університеті будівництва і архітектури в руслі наукових досліджень із проблематики архітектури, містобудування та охорони культурної спадщини. Тематика дисертації пов'язана з науково-дослідною роботою «Містобудівні та правові аспекти визначення меж зон охорони нерухомих пам'яток культурної спадщини </w:t>
      </w:r>
      <w:r w:rsidRPr="00470AE5">
        <w:lastRenderedPageBreak/>
        <w:t>(на прикладі Словенії та Німеччини)» (д/о № 0225U003144, № держ. реєстрації 0125U002382), виконаною у 2025 році під керівництвом д-ра арх., проф. О. І. Сингаївської, у межах якої досліджувалися правові та містобудівні аспекти встановлення меж охоронних зон і можливості адаптації зарубіжного досвіду в Україні.</w:t>
      </w:r>
    </w:p>
    <w:p w14:paraId="6A096845" w14:textId="77777777" w:rsidR="007724F1" w:rsidRPr="00470AE5" w:rsidRDefault="007724F1" w:rsidP="0048254C">
      <w:pPr>
        <w:spacing w:line="276" w:lineRule="auto"/>
        <w:ind w:firstLine="709"/>
        <w:jc w:val="both"/>
        <w:rPr>
          <w:lang w:val="uk-UA"/>
        </w:rPr>
      </w:pPr>
      <w:r w:rsidRPr="00470AE5">
        <w:rPr>
          <w:lang w:val="uk-UA"/>
        </w:rPr>
        <w:t>Мета дослідження визначена чітко і полягає у розробленні принципів і методів визначення меж охоронних зон пам’яток архітектури в різних умовах планування і забудови територій населених пунктів. Поставлені завдання відповідають меті дослідження і послідовно розкривають логіку переходу від аналізу нормативної та науково-методичної бази до формування власного методичного апарату та його апробації на реальних об’єктах.</w:t>
      </w:r>
    </w:p>
    <w:p w14:paraId="6BBF7BE3" w14:textId="77777777" w:rsidR="007724F1" w:rsidRPr="00470AE5" w:rsidRDefault="00000000" w:rsidP="00470AE5">
      <w:pPr>
        <w:spacing w:line="276" w:lineRule="auto"/>
        <w:ind w:firstLine="709"/>
        <w:jc w:val="both"/>
        <w:rPr>
          <w:lang w:val="uk-UA"/>
        </w:rPr>
      </w:pPr>
      <w:r w:rsidRPr="00470AE5">
        <w:t xml:space="preserve">Обґрунтованість та достовірність наукових положень дисертації забезпечується застосуванням комплексу загальнонаукових і спеціальних методів дослідження: аналізу й узагальнення нормативно-правової та науково-методичної бази, порівняльного аналізу вітчизняного й зарубіжного досвіду, аналітико-геометричного (геометрично-тригонометричного) моделювання, методу коефіцієнтів якості зорового сприйняття з натурними спостереженнями та методами математичної статистики й регресійного аналізу, а також містобудівно-типологічного аналізу. </w:t>
      </w:r>
    </w:p>
    <w:p w14:paraId="1D7ED49F" w14:textId="59F65AE9" w:rsidR="007724F1" w:rsidRPr="00470AE5" w:rsidRDefault="00000000" w:rsidP="0048254C">
      <w:pPr>
        <w:spacing w:line="276" w:lineRule="auto"/>
        <w:ind w:firstLine="709"/>
        <w:jc w:val="both"/>
        <w:rPr>
          <w:lang w:val="uk-UA"/>
        </w:rPr>
      </w:pPr>
      <w:r w:rsidRPr="00470AE5">
        <w:t>Достовірність результатів підтверджується їх узгодженістю з положеннями чинної нормативної бази (зокрема ДСТУ Б Б.2.2-10:2016) та з висновками інших дослідників, апробацією основних результатів на наукових конференціях, наявністю публікацій у фахових виданнях, а також практичною апробацією методу на прикладах реальних пам'яток із чинними охоронними зонами та актами впровадження.</w:t>
      </w:r>
      <w:r w:rsidR="007724F1" w:rsidRPr="00470AE5">
        <w:rPr>
          <w:lang w:val="uk-UA"/>
        </w:rPr>
        <w:t xml:space="preserve"> Важливо, що здобувач не обмежується загальними містобудівними міркуваннями, а пропонує конкретні параметри і розрахункові залежності, які можуть бути перевірені та відтворені в межах науково-</w:t>
      </w:r>
      <w:proofErr w:type="spellStart"/>
      <w:r w:rsidR="007724F1" w:rsidRPr="00470AE5">
        <w:rPr>
          <w:lang w:val="uk-UA"/>
        </w:rPr>
        <w:t>проєктної</w:t>
      </w:r>
      <w:proofErr w:type="spellEnd"/>
      <w:r w:rsidR="007724F1" w:rsidRPr="00470AE5">
        <w:rPr>
          <w:lang w:val="uk-UA"/>
        </w:rPr>
        <w:t xml:space="preserve"> роботи.</w:t>
      </w:r>
    </w:p>
    <w:p w14:paraId="43E5A514" w14:textId="25AF87B8" w:rsidR="00BF30DA" w:rsidRPr="00470AE5" w:rsidRDefault="00BF30DA" w:rsidP="00470AE5">
      <w:pPr>
        <w:spacing w:line="276" w:lineRule="auto"/>
        <w:ind w:firstLine="709"/>
        <w:jc w:val="both"/>
        <w:rPr>
          <w:lang w:val="uk-UA"/>
        </w:rPr>
      </w:pPr>
    </w:p>
    <w:p w14:paraId="5BFAD62B" w14:textId="77777777" w:rsidR="00BF30DA" w:rsidRPr="00470AE5" w:rsidRDefault="00000000" w:rsidP="0048254C">
      <w:pPr>
        <w:spacing w:line="276" w:lineRule="auto"/>
        <w:ind w:firstLine="709"/>
        <w:jc w:val="both"/>
      </w:pPr>
      <w:r w:rsidRPr="00470AE5">
        <w:rPr>
          <w:b/>
          <w:bCs/>
        </w:rPr>
        <w:t>Наукова новизна одержаних результатів</w:t>
      </w:r>
    </w:p>
    <w:p w14:paraId="40F70AA9" w14:textId="77777777" w:rsidR="00BF30DA" w:rsidRPr="00470AE5" w:rsidRDefault="00000000" w:rsidP="00470AE5">
      <w:pPr>
        <w:spacing w:line="276" w:lineRule="auto"/>
        <w:ind w:firstLine="709"/>
        <w:jc w:val="both"/>
      </w:pPr>
      <w:r w:rsidRPr="00470AE5">
        <w:t>Наукова новизна дисертації полягає в розробленні науково обґрунтованих положень щодо визначення меж охоронних зон пам'яток архітектури на основі врахування закономірностей їх зорового сприйняття, аналітико-геометричного моделювання параметрів огляду, оцінювання якості візуального сприйняття та аналізу містобудівних умов розміщення пам'ятки.</w:t>
      </w:r>
    </w:p>
    <w:p w14:paraId="6060C378" w14:textId="77777777" w:rsidR="00BF30DA" w:rsidRPr="00470AE5" w:rsidRDefault="00000000" w:rsidP="00470AE5">
      <w:pPr>
        <w:spacing w:line="276" w:lineRule="auto"/>
        <w:ind w:firstLine="709"/>
        <w:jc w:val="both"/>
      </w:pPr>
      <w:r w:rsidRPr="00470AE5">
        <w:t>Найбільш суттєвими новими результатами роботи є такі:</w:t>
      </w:r>
    </w:p>
    <w:p w14:paraId="7B37B6C5" w14:textId="77777777" w:rsidR="00BF30DA" w:rsidRPr="00470AE5" w:rsidRDefault="00000000" w:rsidP="0048254C">
      <w:pPr>
        <w:pStyle w:val="a4"/>
        <w:numPr>
          <w:ilvl w:val="0"/>
          <w:numId w:val="5"/>
        </w:numPr>
        <w:spacing w:line="276" w:lineRule="auto"/>
        <w:ind w:left="0" w:firstLine="709"/>
        <w:jc w:val="both"/>
      </w:pPr>
      <w:r w:rsidRPr="0048254C">
        <w:t>уперше</w:t>
      </w:r>
      <w:r w:rsidRPr="00470AE5">
        <w:t xml:space="preserve"> систему «людина–середовище» (пам'ятку як об'єкт спостереження та людину-спостерігача) покладено в основу визначення меж і </w:t>
      </w:r>
      <w:r w:rsidRPr="00470AE5">
        <w:lastRenderedPageBreak/>
        <w:t>просторової організації охоронних зон з урахуванням психофізичних можливостей людини;</w:t>
      </w:r>
    </w:p>
    <w:p w14:paraId="236B9E27" w14:textId="77777777" w:rsidR="00BF30DA" w:rsidRPr="00470AE5" w:rsidRDefault="00000000" w:rsidP="0048254C">
      <w:pPr>
        <w:pStyle w:val="a4"/>
        <w:numPr>
          <w:ilvl w:val="0"/>
          <w:numId w:val="5"/>
        </w:numPr>
        <w:spacing w:line="276" w:lineRule="auto"/>
        <w:ind w:left="0" w:firstLine="709"/>
        <w:jc w:val="both"/>
      </w:pPr>
      <w:r w:rsidRPr="00470AE5">
        <w:t xml:space="preserve">розроблено </w:t>
      </w:r>
      <w:r w:rsidRPr="0048254C">
        <w:t>аналітико-геометричний</w:t>
      </w:r>
      <w:r w:rsidRPr="0048254C">
        <w:rPr>
          <w:b/>
          <w:bCs/>
        </w:rPr>
        <w:t xml:space="preserve"> </w:t>
      </w:r>
      <w:r w:rsidRPr="00CE2873">
        <w:t>метод</w:t>
      </w:r>
      <w:r w:rsidRPr="00470AE5">
        <w:t xml:space="preserve"> визначення меж охоронних зон, що ґрунтується на встановленні оптимальної дистанції зорового сприйняття пам'ятки за її домінантним габаритом і системі розрахункових коефіцієнтів;</w:t>
      </w:r>
    </w:p>
    <w:p w14:paraId="729EF7EF" w14:textId="77777777" w:rsidR="00BF30DA" w:rsidRPr="00470AE5" w:rsidRDefault="00000000" w:rsidP="0048254C">
      <w:pPr>
        <w:pStyle w:val="a4"/>
        <w:numPr>
          <w:ilvl w:val="0"/>
          <w:numId w:val="5"/>
        </w:numPr>
        <w:spacing w:line="276" w:lineRule="auto"/>
        <w:ind w:left="0" w:firstLine="709"/>
        <w:jc w:val="both"/>
      </w:pPr>
      <w:r w:rsidRPr="00470AE5">
        <w:t xml:space="preserve">введено поняття </w:t>
      </w:r>
      <w:r w:rsidRPr="0048254C">
        <w:t>коефіцієнтів якості зорового сприйняття</w:t>
      </w:r>
      <w:r w:rsidRPr="00470AE5">
        <w:t xml:space="preserve"> пам'ятки архітектури та обґрунтовано логарифмічну функціональну залежність якості сприйняття від кута огляду;</w:t>
      </w:r>
    </w:p>
    <w:p w14:paraId="579A8DC0" w14:textId="77777777" w:rsidR="00BF30DA" w:rsidRPr="00470AE5" w:rsidRDefault="00000000" w:rsidP="0048254C">
      <w:pPr>
        <w:pStyle w:val="a4"/>
        <w:numPr>
          <w:ilvl w:val="0"/>
          <w:numId w:val="5"/>
        </w:numPr>
        <w:spacing w:line="276" w:lineRule="auto"/>
        <w:ind w:left="0" w:firstLine="709"/>
        <w:jc w:val="both"/>
      </w:pPr>
      <w:r w:rsidRPr="00470AE5">
        <w:t xml:space="preserve">встановлено залежність контурів і просторової організації охоронної зони від </w:t>
      </w:r>
      <w:r w:rsidRPr="0048254C">
        <w:t>планувальних обмежень</w:t>
      </w:r>
      <w:r w:rsidRPr="00470AE5">
        <w:t xml:space="preserve"> залежно від типу розміщення пам'ятки (у центрі площі, у фронті забудови, на розі вулиць, у курдонері, усередині кварталу тощо);</w:t>
      </w:r>
    </w:p>
    <w:p w14:paraId="5F3CD763" w14:textId="77777777" w:rsidR="00BF30DA" w:rsidRPr="00470AE5" w:rsidRDefault="00000000" w:rsidP="0048254C">
      <w:pPr>
        <w:pStyle w:val="a4"/>
        <w:numPr>
          <w:ilvl w:val="0"/>
          <w:numId w:val="5"/>
        </w:numPr>
        <w:spacing w:line="276" w:lineRule="auto"/>
        <w:ind w:left="0" w:firstLine="709"/>
        <w:jc w:val="both"/>
      </w:pPr>
      <w:r w:rsidRPr="00470AE5">
        <w:t>запропоновано підходи до внутрішньої об'ємно-планувальної організації території охоронних зон та удосконалено методологічний підхід до визначення їх меж шляхом поєднання чотирьох розроблених методів.</w:t>
      </w:r>
    </w:p>
    <w:p w14:paraId="6A42145B" w14:textId="77777777" w:rsidR="007724F1" w:rsidRPr="00470AE5" w:rsidRDefault="007724F1" w:rsidP="0048254C">
      <w:pPr>
        <w:spacing w:line="276" w:lineRule="auto"/>
        <w:ind w:firstLine="709"/>
        <w:jc w:val="both"/>
        <w:rPr>
          <w:lang w:val="uk-UA"/>
        </w:rPr>
      </w:pPr>
      <w:r w:rsidRPr="00470AE5">
        <w:rPr>
          <w:lang w:val="uk-UA"/>
        </w:rPr>
        <w:t>Одержані результати мають наукову цінність, оскільки переводять проблему визначення меж охоронної зони з рівня переважно описового містобудівного аналізу до рівня формалізованої, аргументованої і придатної до практичного застосування методичної процедури.</w:t>
      </w:r>
    </w:p>
    <w:p w14:paraId="116EFF3A" w14:textId="77777777" w:rsidR="007724F1" w:rsidRPr="00470AE5" w:rsidRDefault="007724F1" w:rsidP="00470AE5">
      <w:pPr>
        <w:pStyle w:val="a4"/>
        <w:spacing w:line="276" w:lineRule="auto"/>
        <w:ind w:left="709"/>
        <w:jc w:val="both"/>
        <w:rPr>
          <w:lang w:val="uk-UA"/>
        </w:rPr>
      </w:pPr>
    </w:p>
    <w:p w14:paraId="3C1FEC99" w14:textId="77777777" w:rsidR="00BF30DA" w:rsidRPr="00470AE5" w:rsidRDefault="00000000" w:rsidP="0048254C">
      <w:pPr>
        <w:spacing w:line="276" w:lineRule="auto"/>
        <w:ind w:firstLine="709"/>
        <w:jc w:val="both"/>
      </w:pPr>
      <w:r w:rsidRPr="00470AE5">
        <w:rPr>
          <w:b/>
          <w:bCs/>
        </w:rPr>
        <w:t>Практичне значення одержаних результатів</w:t>
      </w:r>
    </w:p>
    <w:p w14:paraId="5FC81467" w14:textId="77777777" w:rsidR="007724F1" w:rsidRPr="00470AE5" w:rsidRDefault="00000000" w:rsidP="00470AE5">
      <w:pPr>
        <w:spacing w:line="276" w:lineRule="auto"/>
        <w:ind w:firstLine="709"/>
        <w:jc w:val="both"/>
        <w:rPr>
          <w:lang w:val="ru-RU"/>
        </w:rPr>
      </w:pPr>
      <w:r w:rsidRPr="00470AE5">
        <w:t xml:space="preserve">Практичне значення результатів полягає у можливості їх використання для розрахункового обґрунтування меж і режимів використання охоронних зон пам'яток архітектури на основі умов їх зорового сприйняття: під час розроблення науково-проєктної документації; у діяльності органів охорони культурної спадщини, містобудування та архітектури при обґрунтуванні, погодженні й експертизі меж охоронних зон; у навчальному процесі за спеціальностями архітектурно-містобудівного та інженерно-будівельного спрямування; у вдосконаленні нормативно-методичної бази. </w:t>
      </w:r>
    </w:p>
    <w:p w14:paraId="6A8401C7" w14:textId="77777777" w:rsidR="007724F1" w:rsidRPr="00470AE5" w:rsidRDefault="007724F1" w:rsidP="00470AE5">
      <w:pPr>
        <w:spacing w:line="276" w:lineRule="auto"/>
        <w:ind w:firstLine="709"/>
        <w:jc w:val="both"/>
        <w:rPr>
          <w:lang w:val="uk-UA"/>
        </w:rPr>
      </w:pPr>
      <w:r w:rsidRPr="00470AE5">
        <w:rPr>
          <w:lang w:val="uk-UA"/>
        </w:rPr>
        <w:t xml:space="preserve">Особливо важливим для практики є те, що дисертація пропонує не абстрактну модель, а послідовність дій, орієнтовану на реальні містобудівні ситуації: різні типи розміщення пам’яток у структурі міста, наявність або відсутність відкритих просторів, характер </w:t>
      </w:r>
      <w:proofErr w:type="spellStart"/>
      <w:r w:rsidRPr="00470AE5">
        <w:rPr>
          <w:lang w:val="uk-UA"/>
        </w:rPr>
        <w:t>вулично</w:t>
      </w:r>
      <w:proofErr w:type="spellEnd"/>
      <w:r w:rsidRPr="00470AE5">
        <w:rPr>
          <w:lang w:val="uk-UA"/>
        </w:rPr>
        <w:t>-дорожньої мережі, межі кварталів, червоні лінії, сформовані фронти забудови, просторові коридори сприйняття. Це дає змогу використовувати результати роботи в умовах складної історичної забудови, де механічне встановлення однакових відстаней навколо пам’ятки не забезпечує належного охоронного ефекту.</w:t>
      </w:r>
    </w:p>
    <w:p w14:paraId="2FC4782F" w14:textId="19C39A86" w:rsidR="00BF30DA" w:rsidRPr="00470AE5" w:rsidRDefault="00000000" w:rsidP="00470AE5">
      <w:pPr>
        <w:spacing w:line="276" w:lineRule="auto"/>
        <w:ind w:firstLine="709"/>
        <w:jc w:val="both"/>
        <w:rPr>
          <w:lang w:val="ru-RU"/>
        </w:rPr>
      </w:pPr>
      <w:r w:rsidRPr="00470AE5">
        <w:lastRenderedPageBreak/>
        <w:t>Результати дослідження впроваджено у діяльність ПО «Український інститут культурного надбання» при розробленні науково-проєктної документації, що підтверджується відповідними актами впровадження.</w:t>
      </w:r>
    </w:p>
    <w:p w14:paraId="5D4E60A0" w14:textId="77777777" w:rsidR="007724F1" w:rsidRDefault="007724F1" w:rsidP="00CE2873">
      <w:pPr>
        <w:spacing w:line="276" w:lineRule="auto"/>
        <w:ind w:firstLine="709"/>
        <w:jc w:val="both"/>
        <w:rPr>
          <w:lang w:val="uk-UA"/>
        </w:rPr>
      </w:pPr>
      <w:r w:rsidRPr="00470AE5">
        <w:rPr>
          <w:lang w:val="uk-UA"/>
        </w:rPr>
        <w:t>Результати дослідження також можуть бути використані у навчальному процесі за спеціальностями архітектурно-містобудівного та інженерно-будівельного спрямування, а окремі положення роботи можуть бути корисними для вдосконалення нормативно-методичної бази у сфері охорони культурної спадщини та просторового планування.</w:t>
      </w:r>
    </w:p>
    <w:p w14:paraId="4602FCD4" w14:textId="77777777" w:rsidR="00470AE5" w:rsidRPr="00470AE5" w:rsidRDefault="00470AE5" w:rsidP="00470AE5">
      <w:pPr>
        <w:spacing w:line="276" w:lineRule="auto"/>
        <w:jc w:val="both"/>
        <w:rPr>
          <w:lang w:val="uk-UA"/>
        </w:rPr>
      </w:pPr>
    </w:p>
    <w:p w14:paraId="1F436B4F" w14:textId="7860DE3F" w:rsidR="00BF30DA" w:rsidRPr="00470AE5" w:rsidRDefault="00000000" w:rsidP="00470AE5">
      <w:pPr>
        <w:spacing w:line="276" w:lineRule="auto"/>
        <w:ind w:firstLine="709"/>
        <w:jc w:val="both"/>
      </w:pPr>
      <w:r w:rsidRPr="00470AE5">
        <w:rPr>
          <w:b/>
          <w:bCs/>
        </w:rPr>
        <w:t xml:space="preserve">Повнота викладення основних </w:t>
      </w:r>
      <w:r w:rsidR="007724F1" w:rsidRPr="00470AE5">
        <w:rPr>
          <w:b/>
          <w:bCs/>
          <w:lang w:val="uk-UA"/>
        </w:rPr>
        <w:t xml:space="preserve">положень </w:t>
      </w:r>
      <w:r w:rsidRPr="00470AE5">
        <w:rPr>
          <w:b/>
          <w:bCs/>
        </w:rPr>
        <w:t>в опублікованих працях</w:t>
      </w:r>
    </w:p>
    <w:p w14:paraId="49BEA84A" w14:textId="77777777" w:rsidR="007724F1" w:rsidRPr="00470AE5" w:rsidRDefault="00000000" w:rsidP="00470AE5">
      <w:pPr>
        <w:spacing w:line="276" w:lineRule="auto"/>
        <w:ind w:firstLine="709"/>
        <w:jc w:val="both"/>
        <w:rPr>
          <w:lang w:val="uk-UA"/>
        </w:rPr>
      </w:pPr>
      <w:r w:rsidRPr="00470AE5">
        <w:t xml:space="preserve">Основні наукові результати дисертації висвітлено у 5 наукових публікаціях у фахових виданнях України, включених до переліку МОН України, та 5 тезах доповідей у збірниках матеріалів міжнародних і всеукраїнських науково-практичних конференцій, а також у науково-популярному виданні, на яке отримано свідоцтво про реєстрацію авторського права. Кількість і тематика публікацій загалом відповідають вимогам до дисертацій на здобуття наукового ступеня доктора філософії та достатньо повно відображають основні наукові положення і висновки роботи. </w:t>
      </w:r>
      <w:r w:rsidR="007724F1" w:rsidRPr="00470AE5">
        <w:rPr>
          <w:lang w:val="uk-UA"/>
        </w:rPr>
        <w:t>Подані матеріали узгоджуються зі змістом дисертації та достатньою мірою розкривають її наукову новизну, методичні підходи та практичне значення.</w:t>
      </w:r>
    </w:p>
    <w:p w14:paraId="5566A742" w14:textId="77777777" w:rsidR="0048254C" w:rsidRDefault="00000000" w:rsidP="0048254C">
      <w:pPr>
        <w:spacing w:line="276" w:lineRule="auto"/>
        <w:ind w:firstLine="709"/>
        <w:jc w:val="both"/>
        <w:rPr>
          <w:lang w:val="uk-UA"/>
        </w:rPr>
      </w:pPr>
      <w:r w:rsidRPr="00470AE5">
        <w:t>У працях, опублікованих у співавторстві, належним чином зазначено особистий внесок здобувача.</w:t>
      </w:r>
    </w:p>
    <w:p w14:paraId="4186756D" w14:textId="77777777" w:rsidR="0048254C" w:rsidRDefault="0048254C" w:rsidP="0048254C">
      <w:pPr>
        <w:spacing w:line="276" w:lineRule="auto"/>
        <w:ind w:firstLine="709"/>
        <w:jc w:val="both"/>
        <w:rPr>
          <w:lang w:val="uk-UA"/>
        </w:rPr>
      </w:pPr>
    </w:p>
    <w:p w14:paraId="23C45405" w14:textId="5E2B631F" w:rsidR="007724F1" w:rsidRPr="0048254C" w:rsidRDefault="007724F1" w:rsidP="0048254C">
      <w:pPr>
        <w:spacing w:line="276" w:lineRule="auto"/>
        <w:ind w:firstLine="709"/>
        <w:jc w:val="both"/>
        <w:rPr>
          <w:lang w:val="uk-UA"/>
        </w:rPr>
      </w:pPr>
      <w:r w:rsidRPr="00470AE5">
        <w:rPr>
          <w:b/>
          <w:bCs/>
        </w:rPr>
        <w:t>Оцінка змісту дисертації, її завершеності та оформлення</w:t>
      </w:r>
    </w:p>
    <w:p w14:paraId="11E5DCAC" w14:textId="108757A7" w:rsidR="00BF30DA" w:rsidRPr="00470AE5" w:rsidRDefault="00000000" w:rsidP="00470AE5">
      <w:pPr>
        <w:spacing w:line="276" w:lineRule="auto"/>
        <w:ind w:firstLine="709"/>
        <w:jc w:val="both"/>
      </w:pPr>
      <w:r w:rsidRPr="00470AE5">
        <w:t>Дисертаційна робота складається зі вступу, трьох розділів, висновків, списку використаних джерел (135 найменувань на 19 сторінках) та додатків. Загальний обсяг дисертації становить 206 сторінок, з яких основний текст – 166 сторінок. Робота містить 40 рисунків, 15 таблиць, 12 формул. Тема і зміст роботи відповідають спеціальності 192 – «Будівництво та цивільна інженерія».</w:t>
      </w:r>
      <w:r w:rsidR="007724F1" w:rsidRPr="00470AE5">
        <w:rPr>
          <w:lang w:val="uk-UA"/>
        </w:rPr>
        <w:t xml:space="preserve"> Дисертаційна робота має логічну структуру, зумовлену метою та завданнями дослідження.</w:t>
      </w:r>
    </w:p>
    <w:p w14:paraId="3A4F7BC4" w14:textId="77777777" w:rsidR="00BF30DA" w:rsidRPr="00470AE5" w:rsidRDefault="00000000" w:rsidP="00470AE5">
      <w:pPr>
        <w:spacing w:line="276" w:lineRule="auto"/>
        <w:ind w:firstLine="709"/>
        <w:jc w:val="both"/>
      </w:pPr>
      <w:r w:rsidRPr="00470AE5">
        <w:t xml:space="preserve">У </w:t>
      </w:r>
      <w:r w:rsidRPr="00470AE5">
        <w:rPr>
          <w:b/>
          <w:bCs/>
        </w:rPr>
        <w:t>вступі</w:t>
      </w:r>
      <w:r w:rsidRPr="00470AE5">
        <w:t xml:space="preserve"> обґрунтовано актуальність теми, сформульовано мету і завдання дослідження, визначено об'єкт і предмет, методи дослідження, наукову новизну та практичне значення одержаних результатів, наведено відомості про апробацію та публікації.</w:t>
      </w:r>
    </w:p>
    <w:p w14:paraId="164BDA68" w14:textId="77777777" w:rsidR="00BF30DA" w:rsidRPr="00470AE5" w:rsidRDefault="00000000" w:rsidP="00470AE5">
      <w:pPr>
        <w:spacing w:line="276" w:lineRule="auto"/>
        <w:ind w:firstLine="709"/>
        <w:jc w:val="both"/>
      </w:pPr>
      <w:r w:rsidRPr="00470AE5">
        <w:t xml:space="preserve">У </w:t>
      </w:r>
      <w:r w:rsidRPr="00470AE5">
        <w:rPr>
          <w:b/>
          <w:bCs/>
        </w:rPr>
        <w:t>першому розділі</w:t>
      </w:r>
      <w:r w:rsidRPr="00470AE5">
        <w:t xml:space="preserve"> проаналізовано вітчизняний та зарубіжний досвід нормативно-правових і науково-методичних засад визначення меж охоронних зон. Розглянуто еволюцію вітчизняного законодавства й нормативно-методичної бази у сфері охорони культурної спадщини, проаналізовано чинні документи </w:t>
      </w:r>
      <w:r w:rsidRPr="00470AE5">
        <w:lastRenderedPageBreak/>
        <w:t>(Закон України «Про охорону культурної спадщини», ДСТУ Б Б.2.2-10:2016 та ін.), розмежовано поняття «зорове сприйняття» та «видове розкриття» пам'ятки, узагальнено досвід країн ЄС і США. Обґрунтовано фрагментарність і незавершеність процедурного механізму визначення меж охоронних зон.</w:t>
      </w:r>
    </w:p>
    <w:p w14:paraId="77069734" w14:textId="77777777" w:rsidR="00BF30DA" w:rsidRPr="00470AE5" w:rsidRDefault="00000000" w:rsidP="00470AE5">
      <w:pPr>
        <w:spacing w:line="276" w:lineRule="auto"/>
        <w:ind w:firstLine="709"/>
        <w:jc w:val="both"/>
      </w:pPr>
      <w:r w:rsidRPr="00470AE5">
        <w:t xml:space="preserve">У </w:t>
      </w:r>
      <w:r w:rsidRPr="00470AE5">
        <w:rPr>
          <w:b/>
          <w:bCs/>
        </w:rPr>
        <w:t>другому розділі</w:t>
      </w:r>
      <w:r w:rsidRPr="00470AE5">
        <w:t xml:space="preserve"> викладено методи та містобудівні умови визначення меж охоронних зон. Розроблено аналітико-геометричний метод визначення оптимальної дистанції зорового сприйняття на основі тригонометричних залежностей і кута огляду 30°, введено коефіцієнти якості зорового сприйняття та обґрунтовано їх логарифмічну залежність від кута огляду за результатами натурного експерименту, розроблено типологію розміщення пам'яток у планувальній структурі міста та підходи до просторово-візуального регулювання режимів використання охоронних зон. Сформульовано принципи й методи визначення меж охоронних зон.</w:t>
      </w:r>
    </w:p>
    <w:p w14:paraId="24FC8D35" w14:textId="77777777" w:rsidR="007724F1" w:rsidRPr="00470AE5" w:rsidRDefault="007724F1" w:rsidP="00470AE5">
      <w:pPr>
        <w:spacing w:line="276" w:lineRule="auto"/>
        <w:ind w:firstLine="709"/>
        <w:jc w:val="both"/>
        <w:rPr>
          <w:lang w:val="uk-UA"/>
        </w:rPr>
      </w:pPr>
      <w:r w:rsidRPr="00470AE5">
        <w:rPr>
          <w:lang w:val="uk-UA"/>
        </w:rPr>
        <w:t xml:space="preserve">У </w:t>
      </w:r>
      <w:r w:rsidRPr="00470AE5">
        <w:rPr>
          <w:b/>
          <w:bCs/>
          <w:lang w:val="uk-UA"/>
        </w:rPr>
        <w:t>третьому розділі</w:t>
      </w:r>
      <w:r w:rsidRPr="00470AE5">
        <w:rPr>
          <w:lang w:val="uk-UA"/>
        </w:rPr>
        <w:t xml:space="preserve"> виконано аналіз практики встановлення меж охоронних зон та їх внутрішньої організації за критеріями оптимальних умов зорового сприйняття пам’яток архітектури. Автор демонструє можливість використання аналітико-геометричного методу для оцінювання якості існуючих охоронних зон, а також розглядає благоустрій як засіб організації простору в межах охоронної зони, підпорядкований завданню збереження зорової доступності, композиційної виразності та видового розкриття пам’ятки.</w:t>
      </w:r>
    </w:p>
    <w:p w14:paraId="57FD402C" w14:textId="5AE9B692" w:rsidR="007724F1" w:rsidRPr="00470AE5" w:rsidRDefault="00000000" w:rsidP="00470AE5">
      <w:pPr>
        <w:spacing w:line="276" w:lineRule="auto"/>
        <w:ind w:firstLine="709"/>
        <w:jc w:val="both"/>
        <w:rPr>
          <w:lang w:val="ru-RU"/>
        </w:rPr>
      </w:pPr>
      <w:r w:rsidRPr="00470AE5">
        <w:rPr>
          <w:lang w:val="uk-UA"/>
        </w:rPr>
        <w:t xml:space="preserve">У </w:t>
      </w:r>
      <w:r w:rsidRPr="00470AE5">
        <w:rPr>
          <w:b/>
          <w:bCs/>
          <w:lang w:val="uk-UA"/>
        </w:rPr>
        <w:t>висновках</w:t>
      </w:r>
      <w:r w:rsidRPr="00470AE5">
        <w:rPr>
          <w:lang w:val="uk-UA"/>
        </w:rPr>
        <w:t xml:space="preserve"> узагальнено основні результати дослідження.</w:t>
      </w:r>
      <w:r w:rsidR="007724F1" w:rsidRPr="00470AE5">
        <w:rPr>
          <w:lang w:val="uk-UA"/>
        </w:rPr>
        <w:t xml:space="preserve"> </w:t>
      </w:r>
      <w:r w:rsidR="00535AE3" w:rsidRPr="00470AE5">
        <w:rPr>
          <w:lang w:val="uk-UA"/>
        </w:rPr>
        <w:t xml:space="preserve">Вони </w:t>
      </w:r>
      <w:r w:rsidR="007724F1" w:rsidRPr="00470AE5">
        <w:rPr>
          <w:lang w:val="uk-UA"/>
        </w:rPr>
        <w:t>відповідають поставленим завданням, узагальнюють основні результати дослідження і мають завершений характер.</w:t>
      </w:r>
    </w:p>
    <w:p w14:paraId="7FC156FC" w14:textId="562BF710" w:rsidR="00BF30DA" w:rsidRPr="00470AE5" w:rsidRDefault="00000000" w:rsidP="00470AE5">
      <w:pPr>
        <w:spacing w:line="276" w:lineRule="auto"/>
        <w:ind w:firstLine="709"/>
        <w:jc w:val="both"/>
      </w:pPr>
      <w:r w:rsidRPr="00470AE5">
        <w:t xml:space="preserve">У </w:t>
      </w:r>
      <w:r w:rsidRPr="00470AE5">
        <w:rPr>
          <w:b/>
          <w:bCs/>
        </w:rPr>
        <w:t>додатках</w:t>
      </w:r>
      <w:r w:rsidRPr="00470AE5">
        <w:t xml:space="preserve"> наведено акти впровадження результатів та допоміжні матеріали.</w:t>
      </w:r>
    </w:p>
    <w:p w14:paraId="1BD10849" w14:textId="63EB0E76" w:rsidR="0048254C" w:rsidRDefault="00535AE3" w:rsidP="0048254C">
      <w:pPr>
        <w:spacing w:line="276" w:lineRule="auto"/>
        <w:ind w:firstLine="709"/>
        <w:jc w:val="both"/>
        <w:rPr>
          <w:lang w:val="uk-UA"/>
        </w:rPr>
      </w:pPr>
      <w:r w:rsidRPr="00470AE5">
        <w:rPr>
          <w:lang w:val="uk-UA"/>
        </w:rPr>
        <w:t>Виклад матеріалу є послідовним, науковий стиль загалом витримано. Оформлення роботи відповідає вимогам до кваліфікаційних наукових праць, хоча окремі редакційні неточності та технічні огріхи потребують виправлення.</w:t>
      </w:r>
    </w:p>
    <w:p w14:paraId="19A608EB" w14:textId="77777777" w:rsidR="0048254C" w:rsidRDefault="0048254C" w:rsidP="0048254C">
      <w:pPr>
        <w:spacing w:line="276" w:lineRule="auto"/>
        <w:ind w:firstLine="709"/>
        <w:jc w:val="both"/>
        <w:rPr>
          <w:lang w:val="uk-UA"/>
        </w:rPr>
      </w:pPr>
    </w:p>
    <w:p w14:paraId="19C55C05" w14:textId="3D379D9B" w:rsidR="00535AE3" w:rsidRPr="00470AE5" w:rsidRDefault="00535AE3" w:rsidP="0048254C">
      <w:pPr>
        <w:spacing w:line="276" w:lineRule="auto"/>
        <w:ind w:firstLine="709"/>
        <w:jc w:val="both"/>
        <w:rPr>
          <w:lang w:val="uk-UA"/>
        </w:rPr>
      </w:pPr>
      <w:r w:rsidRPr="00470AE5">
        <w:rPr>
          <w:b/>
          <w:bCs/>
        </w:rPr>
        <w:t>Дотримання вимог академічної доброчесності</w:t>
      </w:r>
    </w:p>
    <w:p w14:paraId="3FF96FD0" w14:textId="77777777" w:rsidR="0048254C" w:rsidRDefault="00535AE3" w:rsidP="0048254C">
      <w:pPr>
        <w:spacing w:line="276" w:lineRule="auto"/>
        <w:ind w:firstLine="709"/>
        <w:jc w:val="both"/>
        <w:rPr>
          <w:lang w:val="uk-UA"/>
        </w:rPr>
      </w:pPr>
      <w:r w:rsidRPr="00470AE5">
        <w:rPr>
          <w:lang w:val="uk-UA"/>
        </w:rPr>
        <w:t>Дисертаційна робота містить результати власних досліджень здобувача. Використання ідей, результатів і текстів інших авторів супроводжується посиланнями на відповідні джерела. За результатами аналізу поданого тексту та публікацій за темою дисертації підстав для твердження про порушення академічної доброчесності не виявлено.</w:t>
      </w:r>
    </w:p>
    <w:p w14:paraId="0E0B3778" w14:textId="4B96A167" w:rsidR="00CE2873" w:rsidRDefault="00CE2873">
      <w:pPr>
        <w:rPr>
          <w:lang w:val="uk-UA"/>
        </w:rPr>
      </w:pPr>
      <w:r>
        <w:rPr>
          <w:lang w:val="uk-UA"/>
        </w:rPr>
        <w:br w:type="page"/>
      </w:r>
    </w:p>
    <w:p w14:paraId="07747DCE" w14:textId="5F434871" w:rsidR="00535AE3" w:rsidRPr="0048254C" w:rsidRDefault="00535AE3" w:rsidP="0048254C">
      <w:pPr>
        <w:spacing w:line="276" w:lineRule="auto"/>
        <w:ind w:firstLine="709"/>
        <w:jc w:val="both"/>
        <w:rPr>
          <w:lang w:val="uk-UA"/>
        </w:rPr>
      </w:pPr>
      <w:r w:rsidRPr="00470AE5">
        <w:rPr>
          <w:b/>
          <w:bCs/>
        </w:rPr>
        <w:lastRenderedPageBreak/>
        <w:t>Зауваження та побажання до дисертаційної роботи</w:t>
      </w:r>
    </w:p>
    <w:p w14:paraId="5A0E1527" w14:textId="603E8E66" w:rsidR="00BF30DA" w:rsidRPr="00470AE5" w:rsidRDefault="00000000" w:rsidP="00470AE5">
      <w:pPr>
        <w:spacing w:line="276" w:lineRule="auto"/>
        <w:ind w:firstLine="709"/>
        <w:jc w:val="both"/>
      </w:pPr>
      <w:r w:rsidRPr="00470AE5">
        <w:t xml:space="preserve">Дисертаційна робота є завершеним самостійним науковим дослідженням, проте, як кожна творча праця, не позбавлена окремих недоліків, </w:t>
      </w:r>
      <w:r w:rsidR="0048254C">
        <w:rPr>
          <w:lang w:val="uk-UA"/>
        </w:rPr>
        <w:t>дискусійних</w:t>
      </w:r>
      <w:r w:rsidRPr="00470AE5">
        <w:t xml:space="preserve"> положень і потребує висловлення низки зауважень.</w:t>
      </w:r>
    </w:p>
    <w:p w14:paraId="730F138F" w14:textId="00A8B7B3" w:rsidR="001F6ADF" w:rsidRPr="001F6ADF" w:rsidRDefault="00000000" w:rsidP="0048254C">
      <w:pPr>
        <w:pStyle w:val="a4"/>
        <w:numPr>
          <w:ilvl w:val="0"/>
          <w:numId w:val="3"/>
        </w:numPr>
        <w:spacing w:line="276" w:lineRule="auto"/>
        <w:jc w:val="both"/>
      </w:pPr>
      <w:r w:rsidRPr="00470AE5">
        <w:t xml:space="preserve">Базове методичне положення розділу 2 викликає заперечення. Виводячи розрахункову дистанцію для вертикально-домінантних пам'яток (H &gt; W), автор охоплює кутом 30° </w:t>
      </w:r>
      <w:r w:rsidRPr="0048254C">
        <w:t>всю висоту</w:t>
      </w:r>
      <w:r w:rsidRPr="00470AE5">
        <w:t xml:space="preserve"> об'єкта й отримує коефіцієнт K = 1,73, тоді як для горизонтально протяжних пам'яток (W &gt; H) той самий кут 30° застосовано вже до </w:t>
      </w:r>
      <w:r w:rsidRPr="0048254C">
        <w:t>половини ширини</w:t>
      </w:r>
      <w:r w:rsidRPr="00470AE5">
        <w:t xml:space="preserve"> (по 15° у кожен бік), звідки K = 1,87. Така непослідовність у трактуванні кута огляду для двох морфологічних типів методично не узгоджена: за єдиного підходу обидва коефіцієнти мали б збігатися. </w:t>
      </w:r>
    </w:p>
    <w:p w14:paraId="17589AD8" w14:textId="5F5FAD59" w:rsidR="0048254C" w:rsidRPr="0048254C" w:rsidRDefault="00000000" w:rsidP="0048254C">
      <w:pPr>
        <w:pStyle w:val="a4"/>
        <w:numPr>
          <w:ilvl w:val="0"/>
          <w:numId w:val="3"/>
        </w:numPr>
        <w:spacing w:line="276" w:lineRule="auto"/>
        <w:jc w:val="both"/>
      </w:pPr>
      <w:r w:rsidRPr="00470AE5">
        <w:t xml:space="preserve">Експериментальна частина (метод коефіцієнтів якості зорового сприйняття) потребує повнішого статистичного обґрунтування. У роботі не зазначено загальної кількості респондентів, їх розподілу та критеріїв формування вибірки, не наведено числових значень коефіцієнта детермінації (R²) і параметрів регресійних рівнянь, а також показників значущості, що не дає змоги повною мірою оцінити надійність установленої логарифмічної залежності. </w:t>
      </w:r>
    </w:p>
    <w:p w14:paraId="5ED5742C" w14:textId="3BC349DD" w:rsidR="00BF30DA" w:rsidRDefault="00000000" w:rsidP="0048254C">
      <w:pPr>
        <w:pStyle w:val="a4"/>
        <w:numPr>
          <w:ilvl w:val="0"/>
          <w:numId w:val="3"/>
        </w:numPr>
        <w:spacing w:line="276" w:lineRule="auto"/>
        <w:jc w:val="both"/>
        <w:rPr>
          <w:lang w:val="uk-UA"/>
        </w:rPr>
      </w:pPr>
      <w:r w:rsidRPr="0048254C">
        <w:t>Запропонована розрахункова модель враховує лише один домінантний габарит пам'ятки (висоту або ширину), фактично зводячи об'ємний об'єкт до плаского фронтального сприйняття. Поза увагою залишаються кутове (ракурсне) сприйняття, рельєф місцевості, перепади висот та реальне положення видових</w:t>
      </w:r>
      <w:r w:rsidRPr="00470AE5">
        <w:t xml:space="preserve"> точок, що обмежує застосовність методу для складних містобудівних ситуацій і потребує застереження.</w:t>
      </w:r>
    </w:p>
    <w:p w14:paraId="44121460" w14:textId="77777777" w:rsidR="0048254C" w:rsidRPr="0048254C" w:rsidRDefault="0048254C" w:rsidP="0048254C">
      <w:pPr>
        <w:pStyle w:val="a4"/>
        <w:numPr>
          <w:ilvl w:val="0"/>
          <w:numId w:val="3"/>
        </w:numPr>
        <w:spacing w:line="276" w:lineRule="auto"/>
        <w:jc w:val="both"/>
        <w:rPr>
          <w:lang w:val="uk-UA"/>
        </w:rPr>
      </w:pPr>
      <w:r w:rsidRPr="0048254C">
        <w:rPr>
          <w:lang w:val="uk-UA"/>
        </w:rPr>
        <w:t>Питання режимів використання охоронної зони бажано деталізувати через конкретні параметри регулювання висотності, озеленення, реклами, освітлення, малих архітектурних форм і тимчасових споруд, оскільки саме ці елементи часто безпосередньо впливають на зорове сприйняття пам’ятки в реальному міському середовищі.</w:t>
      </w:r>
    </w:p>
    <w:p w14:paraId="24342FED" w14:textId="77777777" w:rsidR="0048254C" w:rsidRPr="0048254C" w:rsidRDefault="0048254C" w:rsidP="0048254C">
      <w:pPr>
        <w:pStyle w:val="a4"/>
        <w:numPr>
          <w:ilvl w:val="0"/>
          <w:numId w:val="3"/>
        </w:numPr>
        <w:spacing w:line="276" w:lineRule="auto"/>
        <w:jc w:val="both"/>
        <w:rPr>
          <w:lang w:val="uk-UA"/>
        </w:rPr>
      </w:pPr>
      <w:r w:rsidRPr="0048254C">
        <w:rPr>
          <w:lang w:val="uk-UA"/>
        </w:rPr>
        <w:t xml:space="preserve">У частині </w:t>
      </w:r>
      <w:proofErr w:type="spellStart"/>
      <w:r w:rsidRPr="0048254C">
        <w:rPr>
          <w:lang w:val="uk-UA"/>
        </w:rPr>
        <w:t>містобудівно</w:t>
      </w:r>
      <w:proofErr w:type="spellEnd"/>
      <w:r w:rsidRPr="0048254C">
        <w:rPr>
          <w:lang w:val="uk-UA"/>
        </w:rPr>
        <w:t>-типологічного методу просторово-візуальної корекції меж доцільно було б додатково розробити більш формалізований алгоритм вибору оглядових точок, осей, фронтів і зон сприйняття для різних типів планувальних ситуацій.</w:t>
      </w:r>
    </w:p>
    <w:p w14:paraId="56BDAFF7" w14:textId="77777777" w:rsidR="0048254C" w:rsidRPr="0048254C" w:rsidRDefault="0048254C" w:rsidP="0048254C">
      <w:pPr>
        <w:pStyle w:val="a4"/>
        <w:numPr>
          <w:ilvl w:val="0"/>
          <w:numId w:val="3"/>
        </w:numPr>
        <w:spacing w:line="276" w:lineRule="auto"/>
        <w:jc w:val="both"/>
        <w:rPr>
          <w:lang w:val="uk-UA"/>
        </w:rPr>
      </w:pPr>
      <w:r w:rsidRPr="0048254C">
        <w:rPr>
          <w:lang w:val="uk-UA"/>
        </w:rPr>
        <w:t>Практичний розділ можна було б посилити покроковою схемою застосування запропонованої методики у складі науково-</w:t>
      </w:r>
      <w:proofErr w:type="spellStart"/>
      <w:r w:rsidRPr="0048254C">
        <w:rPr>
          <w:lang w:val="uk-UA"/>
        </w:rPr>
        <w:t>проєктної</w:t>
      </w:r>
      <w:proofErr w:type="spellEnd"/>
      <w:r w:rsidRPr="0048254C">
        <w:rPr>
          <w:lang w:val="uk-UA"/>
        </w:rPr>
        <w:t xml:space="preserve"> документації: від збору вихідних даних і польових вимірювань до побудови графічних матеріалів, визначення меж і формулювання режимів використання охоронної зони.</w:t>
      </w:r>
    </w:p>
    <w:p w14:paraId="3B0A8750" w14:textId="1B8B94F0" w:rsidR="0048254C" w:rsidRPr="0048254C" w:rsidRDefault="0048254C" w:rsidP="0048254C">
      <w:pPr>
        <w:pStyle w:val="a4"/>
        <w:numPr>
          <w:ilvl w:val="0"/>
          <w:numId w:val="3"/>
        </w:numPr>
        <w:spacing w:line="276" w:lineRule="auto"/>
        <w:jc w:val="both"/>
      </w:pPr>
      <w:r w:rsidRPr="00470AE5">
        <w:lastRenderedPageBreak/>
        <w:t>У таблицях результатів спостережень (зокрема Таблиця 2.2) трапляються невідповідності між кутом огляду та обчисленою відстанню: для більшого кута наведено більшу відстань до пам'ятки (наприклад, для 50°</w:t>
      </w:r>
      <w:r>
        <w:rPr>
          <w:lang w:val="uk-UA"/>
        </w:rPr>
        <w:t xml:space="preserve">- </w:t>
      </w:r>
      <w:r w:rsidRPr="00470AE5">
        <w:t>32,24 м, а для 55°</w:t>
      </w:r>
      <w:r>
        <w:rPr>
          <w:lang w:val="uk-UA"/>
        </w:rPr>
        <w:t>-</w:t>
      </w:r>
      <w:r w:rsidRPr="00470AE5">
        <w:t xml:space="preserve"> 19,6 м), що порушує монотонну залежність «кут</w:t>
      </w:r>
      <w:r>
        <w:rPr>
          <w:lang w:val="uk-UA"/>
        </w:rPr>
        <w:t>-</w:t>
      </w:r>
      <w:r w:rsidRPr="00470AE5">
        <w:t>дистанція» і свідчить про технічні неточності в розрахунках або поданні даних.</w:t>
      </w:r>
    </w:p>
    <w:p w14:paraId="3186E4B9" w14:textId="77777777" w:rsidR="0048254C" w:rsidRDefault="0048254C" w:rsidP="0048254C">
      <w:pPr>
        <w:spacing w:line="276" w:lineRule="auto"/>
        <w:ind w:firstLine="709"/>
        <w:jc w:val="both"/>
        <w:rPr>
          <w:lang w:val="uk-UA"/>
        </w:rPr>
      </w:pPr>
    </w:p>
    <w:p w14:paraId="0120365E" w14:textId="50F06606" w:rsidR="00BF30DA" w:rsidRPr="00470AE5" w:rsidRDefault="00000000" w:rsidP="00470AE5">
      <w:pPr>
        <w:spacing w:line="276" w:lineRule="auto"/>
        <w:ind w:firstLine="709"/>
        <w:jc w:val="both"/>
      </w:pPr>
      <w:r w:rsidRPr="00470AE5">
        <w:t>Разом із тим висловлені зауваження мають переважно дискусійний, методичний та редакційно-технічний характер, не стосуються основних наукових положень роботи й не знижують її загальної наукової та практичної цінності.</w:t>
      </w:r>
    </w:p>
    <w:p w14:paraId="23A9B4E3" w14:textId="77777777" w:rsidR="00470AE5" w:rsidRDefault="00470AE5" w:rsidP="00470AE5">
      <w:pPr>
        <w:spacing w:line="276" w:lineRule="auto"/>
        <w:ind w:firstLine="851"/>
        <w:jc w:val="both"/>
        <w:rPr>
          <w:b/>
          <w:bCs/>
          <w:lang w:val="uk-UA"/>
        </w:rPr>
      </w:pPr>
    </w:p>
    <w:p w14:paraId="13E963FC" w14:textId="399EFF02" w:rsidR="00470AE5" w:rsidRPr="00470AE5" w:rsidRDefault="00470AE5" w:rsidP="00470AE5">
      <w:pPr>
        <w:spacing w:line="276" w:lineRule="auto"/>
        <w:ind w:firstLine="851"/>
        <w:jc w:val="both"/>
      </w:pPr>
      <w:r w:rsidRPr="00470AE5">
        <w:rPr>
          <w:b/>
          <w:bCs/>
        </w:rPr>
        <w:t>Відповідність дисертації встановленим вимогам</w:t>
      </w:r>
    </w:p>
    <w:p w14:paraId="7BAD81BA" w14:textId="77777777" w:rsidR="00470AE5" w:rsidRPr="00AE0528" w:rsidRDefault="00470AE5" w:rsidP="00470AE5">
      <w:pPr>
        <w:spacing w:line="276" w:lineRule="auto"/>
        <w:ind w:firstLine="851"/>
        <w:jc w:val="both"/>
        <w:rPr>
          <w:lang w:val="uk-UA"/>
        </w:rPr>
      </w:pPr>
      <w:r w:rsidRPr="00AE0528">
        <w:rPr>
          <w:lang w:val="uk-UA"/>
        </w:rPr>
        <w:t xml:space="preserve">Дисертаційна робота Козака Сергія Анатолійовича «Принципи і методи визначення меж охоронних зон пам’яток архітектури» за змістом, структурою, науковим рівнем, обґрунтованістю основних положень, повнотою оприлюднення результатів та практичною спрямованістю відповідає спеціальності 192 – Будівництво та цивільна інженерія галузі знань 19 – Архітектура та будівництво, </w:t>
      </w:r>
      <w:bookmarkStart w:id="0" w:name="_Hlk231227373"/>
      <w:r w:rsidRPr="00AE0528">
        <w:rPr>
          <w:lang w:val="uk-UA"/>
        </w:rPr>
        <w:t>а також вимогам, що висуваються до дисертацій на здобуття ступеня доктора філософії.</w:t>
      </w:r>
    </w:p>
    <w:p w14:paraId="7DD2CD3F" w14:textId="77777777" w:rsidR="00470AE5" w:rsidRDefault="00470AE5" w:rsidP="00470AE5">
      <w:pPr>
        <w:spacing w:line="276" w:lineRule="auto"/>
        <w:ind w:firstLine="851"/>
        <w:jc w:val="both"/>
        <w:rPr>
          <w:lang w:val="uk-UA"/>
        </w:rPr>
      </w:pPr>
      <w:bookmarkStart w:id="1" w:name="_Hlk231227467"/>
      <w:bookmarkEnd w:id="0"/>
      <w:r w:rsidRPr="00AE0528">
        <w:rPr>
          <w:lang w:val="uk-UA"/>
        </w:rPr>
        <w:t xml:space="preserve">Робота відповідає «Вимогам до оформлення дисертації», затвердженим наказом Міністерства освіти і науки </w:t>
      </w:r>
      <w:r w:rsidRPr="0048254C">
        <w:rPr>
          <w:lang w:val="uk-UA"/>
        </w:rPr>
        <w:t>України від 12.01.2017 р. № 40, та «Порядку</w:t>
      </w:r>
      <w:r w:rsidRPr="00AE0528">
        <w:rPr>
          <w:lang w:val="uk-UA"/>
        </w:rPr>
        <w:t xml:space="preserve">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затвердженому постановою Кабінету Міністрів України від 12.01.2022 р. № 44.</w:t>
      </w:r>
      <w:bookmarkEnd w:id="1"/>
    </w:p>
    <w:p w14:paraId="3D2CD635" w14:textId="77777777" w:rsidR="0048254C" w:rsidRDefault="0048254C" w:rsidP="00470AE5">
      <w:pPr>
        <w:spacing w:line="276" w:lineRule="auto"/>
        <w:ind w:firstLine="851"/>
        <w:jc w:val="both"/>
        <w:rPr>
          <w:b/>
          <w:bCs/>
          <w:lang w:val="uk-UA"/>
        </w:rPr>
      </w:pPr>
    </w:p>
    <w:p w14:paraId="7A0B26E7" w14:textId="74821357" w:rsidR="00470AE5" w:rsidRPr="00470AE5" w:rsidRDefault="00470AE5" w:rsidP="00470AE5">
      <w:pPr>
        <w:spacing w:line="276" w:lineRule="auto"/>
        <w:ind w:firstLine="851"/>
        <w:jc w:val="both"/>
        <w:rPr>
          <w:lang w:val="uk-UA"/>
        </w:rPr>
      </w:pPr>
      <w:r w:rsidRPr="00470AE5">
        <w:rPr>
          <w:b/>
          <w:bCs/>
        </w:rPr>
        <w:t>Загальний висновок</w:t>
      </w:r>
    </w:p>
    <w:p w14:paraId="18E056EB" w14:textId="77777777" w:rsidR="00470AE5" w:rsidRPr="00AE0528" w:rsidRDefault="00470AE5" w:rsidP="00470AE5">
      <w:pPr>
        <w:spacing w:line="276" w:lineRule="auto"/>
        <w:ind w:firstLine="851"/>
        <w:jc w:val="both"/>
        <w:rPr>
          <w:lang w:val="uk-UA"/>
        </w:rPr>
      </w:pPr>
      <w:r w:rsidRPr="00AE0528">
        <w:rPr>
          <w:lang w:val="uk-UA"/>
        </w:rPr>
        <w:t>На підставі вищевикладеного вважаю, що дисертаційна робота Козака Сергія Анатолійовича «Принципи і методи визначення меж охоронних зон пам’яток архітектури» є завершеною самостійною науковою працею, у якій отримано нові науково обґрунтовані результати, що мають теоретичне і практичне значення для розвитку науково-методичних засад визначення меж охоронних зон пам’яток архітектури, охорони культурної спадщини та містобудівного регулювання історичного середовища. У дисертації вирішено актуальну науково-прикладну задачу визначення меж охоронних зон пам’яток архітектури на основі закономірностей їх зорового сприйняття, аналітико-геометричного моделювання параметрів огляду та врахування містобудівних умов розміщення пам’яток у структурі населених пунктів.</w:t>
      </w:r>
    </w:p>
    <w:p w14:paraId="71733788" w14:textId="77777777" w:rsidR="00470AE5" w:rsidRPr="00AE0528" w:rsidRDefault="00470AE5" w:rsidP="00470AE5">
      <w:pPr>
        <w:spacing w:line="276" w:lineRule="auto"/>
        <w:ind w:firstLine="851"/>
        <w:jc w:val="both"/>
        <w:rPr>
          <w:lang w:val="uk-UA"/>
        </w:rPr>
      </w:pPr>
      <w:r w:rsidRPr="00AE0528">
        <w:rPr>
          <w:lang w:val="uk-UA"/>
        </w:rPr>
        <w:lastRenderedPageBreak/>
        <w:t>Дисертація відповідає встановленим вимогам до кваліфікаційних наукових праць, поданих на здобуття ступеня доктора філософії, а її автор, Козак Сергій Анатолійович, заслуговує на присудження ступеня доктора філософії за спеціальністю 192 – Будівництво та цивільна інженерія галузі знань 19 – Архітектура та будівництво.</w:t>
      </w:r>
    </w:p>
    <w:p w14:paraId="44F46D9B" w14:textId="77777777" w:rsidR="00470AE5" w:rsidRDefault="00470AE5" w:rsidP="00470AE5">
      <w:pPr>
        <w:spacing w:line="276" w:lineRule="auto"/>
        <w:jc w:val="both"/>
        <w:rPr>
          <w:b/>
          <w:bCs/>
          <w:lang w:val="uk-UA"/>
        </w:rPr>
      </w:pPr>
    </w:p>
    <w:p w14:paraId="3CE763B8" w14:textId="77777777" w:rsidR="00470AE5" w:rsidRDefault="00470AE5" w:rsidP="00470AE5">
      <w:pPr>
        <w:spacing w:line="276" w:lineRule="auto"/>
        <w:jc w:val="both"/>
        <w:rPr>
          <w:b/>
          <w:bCs/>
          <w:lang w:val="uk-UA"/>
        </w:rPr>
      </w:pPr>
    </w:p>
    <w:p w14:paraId="6403385A" w14:textId="56E6C33D" w:rsidR="00BF30DA" w:rsidRPr="00470AE5" w:rsidRDefault="00000000" w:rsidP="00470AE5">
      <w:pPr>
        <w:spacing w:line="276" w:lineRule="auto"/>
        <w:jc w:val="both"/>
      </w:pPr>
      <w:r w:rsidRPr="00470AE5">
        <w:rPr>
          <w:b/>
          <w:bCs/>
        </w:rPr>
        <w:t>Офіційний опонент</w:t>
      </w:r>
    </w:p>
    <w:p w14:paraId="6A95C769" w14:textId="77777777" w:rsidR="00BF30DA" w:rsidRPr="00470AE5" w:rsidRDefault="00000000" w:rsidP="00470AE5">
      <w:pPr>
        <w:spacing w:line="276" w:lineRule="auto"/>
        <w:jc w:val="both"/>
      </w:pPr>
      <w:r w:rsidRPr="00470AE5">
        <w:t>завідувачка кафедри будівництва,</w:t>
      </w:r>
    </w:p>
    <w:p w14:paraId="0F0FE482" w14:textId="77777777" w:rsidR="00BF30DA" w:rsidRPr="00470AE5" w:rsidRDefault="00000000" w:rsidP="00470AE5">
      <w:pPr>
        <w:spacing w:line="276" w:lineRule="auto"/>
        <w:jc w:val="both"/>
      </w:pPr>
      <w:r w:rsidRPr="00470AE5">
        <w:t>урбаністики та просторового</w:t>
      </w:r>
    </w:p>
    <w:p w14:paraId="6FBE0F23" w14:textId="77777777" w:rsidR="00BF30DA" w:rsidRPr="00470AE5" w:rsidRDefault="00000000" w:rsidP="00470AE5">
      <w:pPr>
        <w:spacing w:line="276" w:lineRule="auto"/>
        <w:jc w:val="both"/>
      </w:pPr>
      <w:r w:rsidRPr="00470AE5">
        <w:t>планування Східноукраїнського</w:t>
      </w:r>
    </w:p>
    <w:p w14:paraId="6957AF98" w14:textId="77777777" w:rsidR="00BF30DA" w:rsidRPr="00470AE5" w:rsidRDefault="00000000" w:rsidP="00470AE5">
      <w:pPr>
        <w:spacing w:line="276" w:lineRule="auto"/>
        <w:jc w:val="both"/>
      </w:pPr>
      <w:r w:rsidRPr="00470AE5">
        <w:t>національного університету</w:t>
      </w:r>
    </w:p>
    <w:p w14:paraId="63F83A0D" w14:textId="77777777" w:rsidR="00BF30DA" w:rsidRPr="00470AE5" w:rsidRDefault="00000000" w:rsidP="00470AE5">
      <w:pPr>
        <w:spacing w:line="276" w:lineRule="auto"/>
        <w:jc w:val="both"/>
      </w:pPr>
      <w:r w:rsidRPr="00470AE5">
        <w:t>імені Володимира Даля,</w:t>
      </w:r>
    </w:p>
    <w:p w14:paraId="44D7EAC6" w14:textId="3883D7CF" w:rsidR="00BF30DA" w:rsidRPr="00470AE5" w:rsidRDefault="00000000" w:rsidP="00470AE5">
      <w:pPr>
        <w:tabs>
          <w:tab w:val="right" w:pos="9000"/>
        </w:tabs>
        <w:spacing w:line="276" w:lineRule="auto"/>
        <w:jc w:val="both"/>
      </w:pPr>
      <w:r w:rsidRPr="00470AE5">
        <w:t>доктор технічних наук, професор</w:t>
      </w:r>
      <w:r w:rsidRPr="00470AE5">
        <w:tab/>
        <w:t xml:space="preserve">Галина </w:t>
      </w:r>
      <w:r w:rsidR="00470AE5" w:rsidRPr="00470AE5">
        <w:t>ТАТАРЧЕНКО</w:t>
      </w:r>
    </w:p>
    <w:p w14:paraId="2B44624B" w14:textId="77777777" w:rsidR="00470AE5" w:rsidRDefault="00470AE5" w:rsidP="00470AE5">
      <w:pPr>
        <w:spacing w:line="276" w:lineRule="auto"/>
        <w:jc w:val="both"/>
        <w:rPr>
          <w:lang w:val="uk-UA"/>
        </w:rPr>
      </w:pPr>
    </w:p>
    <w:p w14:paraId="16F8252E" w14:textId="77777777" w:rsidR="00470AE5" w:rsidRDefault="00470AE5" w:rsidP="00470AE5">
      <w:pPr>
        <w:spacing w:line="276" w:lineRule="auto"/>
        <w:jc w:val="both"/>
        <w:rPr>
          <w:lang w:val="uk-UA"/>
        </w:rPr>
      </w:pPr>
    </w:p>
    <w:p w14:paraId="2A5696E8" w14:textId="797BA1B9" w:rsidR="00BF30DA" w:rsidRPr="00470AE5" w:rsidRDefault="00000000" w:rsidP="00470AE5">
      <w:pPr>
        <w:spacing w:line="276" w:lineRule="auto"/>
        <w:jc w:val="both"/>
      </w:pPr>
      <w:r w:rsidRPr="00470AE5">
        <w:t>Підпис Татарченко Г. О. засвідчую,</w:t>
      </w:r>
    </w:p>
    <w:p w14:paraId="56E8081D" w14:textId="1CDE11B8" w:rsidR="00BF30DA" w:rsidRPr="00470AE5" w:rsidRDefault="00000000" w:rsidP="00470AE5">
      <w:pPr>
        <w:tabs>
          <w:tab w:val="right" w:pos="9000"/>
        </w:tabs>
        <w:spacing w:line="276" w:lineRule="auto"/>
        <w:jc w:val="both"/>
      </w:pPr>
      <w:r w:rsidRPr="00470AE5">
        <w:t>Вчений секретар СНУ ім. В. Даля</w:t>
      </w:r>
      <w:r w:rsidRPr="00470AE5">
        <w:tab/>
        <w:t xml:space="preserve">Григорій </w:t>
      </w:r>
      <w:r w:rsidR="00470AE5" w:rsidRPr="00470AE5">
        <w:t>БОЙКО</w:t>
      </w:r>
    </w:p>
    <w:sectPr w:rsidR="00BF30DA" w:rsidRPr="00470AE5" w:rsidSect="0048254C">
      <w:pgSz w:w="11906" w:h="16838"/>
      <w:pgMar w:top="1134"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7263C"/>
    <w:multiLevelType w:val="hybridMultilevel"/>
    <w:tmpl w:val="1ECCBD86"/>
    <w:lvl w:ilvl="0" w:tplc="77080A62">
      <w:start w:val="1"/>
      <w:numFmt w:val="bullet"/>
      <w:lvlText w:val="–"/>
      <w:lvlJc w:val="left"/>
      <w:pPr>
        <w:ind w:left="709" w:hanging="360"/>
      </w:pPr>
    </w:lvl>
    <w:lvl w:ilvl="1" w:tplc="A1ACC34E">
      <w:numFmt w:val="decimal"/>
      <w:lvlText w:val=""/>
      <w:lvlJc w:val="left"/>
    </w:lvl>
    <w:lvl w:ilvl="2" w:tplc="1D06F956">
      <w:numFmt w:val="decimal"/>
      <w:lvlText w:val=""/>
      <w:lvlJc w:val="left"/>
    </w:lvl>
    <w:lvl w:ilvl="3" w:tplc="FB381A62">
      <w:numFmt w:val="decimal"/>
      <w:lvlText w:val=""/>
      <w:lvlJc w:val="left"/>
    </w:lvl>
    <w:lvl w:ilvl="4" w:tplc="7060A89C">
      <w:numFmt w:val="decimal"/>
      <w:lvlText w:val=""/>
      <w:lvlJc w:val="left"/>
    </w:lvl>
    <w:lvl w:ilvl="5" w:tplc="D9B69E30">
      <w:numFmt w:val="decimal"/>
      <w:lvlText w:val=""/>
      <w:lvlJc w:val="left"/>
    </w:lvl>
    <w:lvl w:ilvl="6" w:tplc="04FC7FA6">
      <w:numFmt w:val="decimal"/>
      <w:lvlText w:val=""/>
      <w:lvlJc w:val="left"/>
    </w:lvl>
    <w:lvl w:ilvl="7" w:tplc="9E9AEAF8">
      <w:numFmt w:val="decimal"/>
      <w:lvlText w:val=""/>
      <w:lvlJc w:val="left"/>
    </w:lvl>
    <w:lvl w:ilvl="8" w:tplc="ED08F79A">
      <w:numFmt w:val="decimal"/>
      <w:lvlText w:val=""/>
      <w:lvlJc w:val="left"/>
    </w:lvl>
  </w:abstractNum>
  <w:abstractNum w:abstractNumId="1" w15:restartNumberingAfterBreak="0">
    <w:nsid w:val="628D00E3"/>
    <w:multiLevelType w:val="hybridMultilevel"/>
    <w:tmpl w:val="5C5ED3F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701D487F"/>
    <w:multiLevelType w:val="hybridMultilevel"/>
    <w:tmpl w:val="E36418BC"/>
    <w:lvl w:ilvl="0" w:tplc="E6806104">
      <w:start w:val="1"/>
      <w:numFmt w:val="bullet"/>
      <w:lvlText w:val=""/>
      <w:lvlJc w:val="left"/>
      <w:pPr>
        <w:ind w:left="1069" w:hanging="360"/>
      </w:pPr>
      <w:rPr>
        <w:rFonts w:ascii="Symbol" w:hAnsi="Symbol" w:hint="default"/>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abstractNum w:abstractNumId="3" w15:restartNumberingAfterBreak="0">
    <w:nsid w:val="7A3A61DB"/>
    <w:multiLevelType w:val="hybridMultilevel"/>
    <w:tmpl w:val="A878A7E6"/>
    <w:lvl w:ilvl="0" w:tplc="AAF4FB8C">
      <w:start w:val="1"/>
      <w:numFmt w:val="bullet"/>
      <w:lvlText w:val="●"/>
      <w:lvlJc w:val="left"/>
      <w:pPr>
        <w:ind w:left="720" w:hanging="360"/>
      </w:pPr>
    </w:lvl>
    <w:lvl w:ilvl="1" w:tplc="B7D636AC">
      <w:start w:val="1"/>
      <w:numFmt w:val="bullet"/>
      <w:lvlText w:val="○"/>
      <w:lvlJc w:val="left"/>
      <w:pPr>
        <w:ind w:left="1440" w:hanging="360"/>
      </w:pPr>
    </w:lvl>
    <w:lvl w:ilvl="2" w:tplc="C1E03A96">
      <w:start w:val="1"/>
      <w:numFmt w:val="bullet"/>
      <w:lvlText w:val="■"/>
      <w:lvlJc w:val="left"/>
      <w:pPr>
        <w:ind w:left="2160" w:hanging="360"/>
      </w:pPr>
    </w:lvl>
    <w:lvl w:ilvl="3" w:tplc="D754327E">
      <w:start w:val="1"/>
      <w:numFmt w:val="bullet"/>
      <w:lvlText w:val="●"/>
      <w:lvlJc w:val="left"/>
      <w:pPr>
        <w:ind w:left="2880" w:hanging="360"/>
      </w:pPr>
    </w:lvl>
    <w:lvl w:ilvl="4" w:tplc="69242332">
      <w:start w:val="1"/>
      <w:numFmt w:val="bullet"/>
      <w:lvlText w:val="○"/>
      <w:lvlJc w:val="left"/>
      <w:pPr>
        <w:ind w:left="3600" w:hanging="360"/>
      </w:pPr>
    </w:lvl>
    <w:lvl w:ilvl="5" w:tplc="9426FCB8">
      <w:start w:val="1"/>
      <w:numFmt w:val="bullet"/>
      <w:lvlText w:val="■"/>
      <w:lvlJc w:val="left"/>
      <w:pPr>
        <w:ind w:left="4320" w:hanging="360"/>
      </w:pPr>
    </w:lvl>
    <w:lvl w:ilvl="6" w:tplc="C138F928">
      <w:start w:val="1"/>
      <w:numFmt w:val="bullet"/>
      <w:lvlText w:val="●"/>
      <w:lvlJc w:val="left"/>
      <w:pPr>
        <w:ind w:left="5040" w:hanging="360"/>
      </w:pPr>
    </w:lvl>
    <w:lvl w:ilvl="7" w:tplc="FB64CEE6">
      <w:start w:val="1"/>
      <w:numFmt w:val="bullet"/>
      <w:lvlText w:val="●"/>
      <w:lvlJc w:val="left"/>
      <w:pPr>
        <w:ind w:left="5760" w:hanging="360"/>
      </w:pPr>
    </w:lvl>
    <w:lvl w:ilvl="8" w:tplc="E262662E">
      <w:start w:val="1"/>
      <w:numFmt w:val="bullet"/>
      <w:lvlText w:val="●"/>
      <w:lvlJc w:val="left"/>
      <w:pPr>
        <w:ind w:left="6480" w:hanging="360"/>
      </w:pPr>
    </w:lvl>
  </w:abstractNum>
  <w:num w:numId="1" w16cid:durableId="1346901317">
    <w:abstractNumId w:val="3"/>
    <w:lvlOverride w:ilvl="0">
      <w:startOverride w:val="1"/>
    </w:lvlOverride>
  </w:num>
  <w:num w:numId="2" w16cid:durableId="171265929">
    <w:abstractNumId w:val="0"/>
    <w:lvlOverride w:ilvl="0">
      <w:startOverride w:val="1"/>
    </w:lvlOverride>
  </w:num>
  <w:num w:numId="3" w16cid:durableId="242644006">
    <w:abstractNumId w:val="1"/>
  </w:num>
  <w:num w:numId="4" w16cid:durableId="1707170408">
    <w:abstractNumId w:val="0"/>
  </w:num>
  <w:num w:numId="5" w16cid:durableId="242643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0DA"/>
    <w:rsid w:val="00184E24"/>
    <w:rsid w:val="001F6ADF"/>
    <w:rsid w:val="00470AE5"/>
    <w:rsid w:val="0048254C"/>
    <w:rsid w:val="00535AE3"/>
    <w:rsid w:val="007724F1"/>
    <w:rsid w:val="009B72C7"/>
    <w:rsid w:val="00BF30DA"/>
    <w:rsid w:val="00CE28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1D7D"/>
  <w15:docId w15:val="{BF2EFD05-CABD-4182-87BA-AC644AAC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61B25-D8E4-4536-B5FD-CD8F1D56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2529</Words>
  <Characters>14416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Татарченко Галина Олегівна</cp:lastModifiedBy>
  <cp:revision>3</cp:revision>
  <dcterms:created xsi:type="dcterms:W3CDTF">2026-05-23T19:07:00Z</dcterms:created>
  <dcterms:modified xsi:type="dcterms:W3CDTF">2026-06-01T15:27:00Z</dcterms:modified>
</cp:coreProperties>
</file>